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u w:val="single"/>
        </w:rPr>
      </w:pPr>
      <w:r>
        <w:rPr>
          <w:b/>
          <w:u w:val="single"/>
        </w:rPr>
        <w:t xml:space="preserve">  </w:t>
      </w:r>
      <w:r>
        <w:rPr>
          <w:b/>
          <w:u w:val="single"/>
        </w:rPr>
        <w:t>Timeline and documentary proof of consultation.  Bridge Neighbourhood Plan 2012-2018</w:t>
      </w:r>
    </w:p>
    <w:p>
      <w:pPr>
        <w:pStyle w:val="Normal"/>
        <w:jc w:val="center"/>
        <w:rPr/>
      </w:pPr>
      <w:r>
        <w:rPr/>
        <w:t>(Shaded rows indicate that consultation was not taking place and therefore changes in the Neighbourhood Plan did not necessarily follow)</w:t>
      </w:r>
    </w:p>
    <w:p>
      <w:pPr>
        <w:pStyle w:val="Normal"/>
        <w:jc w:val="center"/>
        <w:rPr/>
      </w:pPr>
      <w:r>
        <w:rPr/>
      </w:r>
    </w:p>
    <w:p>
      <w:pPr>
        <w:pStyle w:val="Normal"/>
        <w:jc w:val="center"/>
        <w:rPr/>
      </w:pPr>
      <w:r>
        <w:rPr/>
        <w:t>NPC= Neighbourhood Planning Committee</w:t>
      </w:r>
    </w:p>
    <w:p>
      <w:pPr>
        <w:pStyle w:val="Normal"/>
        <w:jc w:val="center"/>
        <w:rPr/>
      </w:pPr>
      <w:r>
        <w:rPr/>
        <w:t>CCC=Canterbury City Council</w:t>
      </w:r>
    </w:p>
    <w:p>
      <w:pPr>
        <w:pStyle w:val="Normal"/>
        <w:jc w:val="center"/>
        <w:rPr/>
      </w:pPr>
      <w:r>
        <w:rPr/>
        <w:t>NP=Neighbourhood Plan</w:t>
      </w:r>
    </w:p>
    <w:p>
      <w:pPr>
        <w:pStyle w:val="Normal"/>
        <w:jc w:val="center"/>
        <w:rPr/>
      </w:pPr>
      <w:r>
        <w:rPr/>
        <w:t>CDLP= Canterbury District Local Plan</w:t>
      </w:r>
    </w:p>
    <w:tbl>
      <w:tblPr>
        <w:tblStyle w:val="TableGrid"/>
        <w:tblW w:w="14459" w:type="dxa"/>
        <w:jc w:val="left"/>
        <w:tblInd w:w="-572" w:type="dxa"/>
        <w:tblCellMar>
          <w:top w:w="0" w:type="dxa"/>
          <w:left w:w="108" w:type="dxa"/>
          <w:bottom w:w="0" w:type="dxa"/>
          <w:right w:w="108" w:type="dxa"/>
        </w:tblCellMar>
        <w:tblLook w:firstRow="1" w:noVBand="1" w:lastRow="0" w:firstColumn="1" w:lastColumn="0" w:noHBand="0" w:val="04a0"/>
      </w:tblPr>
      <w:tblGrid>
        <w:gridCol w:w="1700"/>
        <w:gridCol w:w="1277"/>
        <w:gridCol w:w="2628"/>
        <w:gridCol w:w="1424"/>
        <w:gridCol w:w="1193"/>
        <w:gridCol w:w="1134"/>
        <w:gridCol w:w="5102"/>
      </w:tblGrid>
      <w:tr>
        <w:trPr/>
        <w:tc>
          <w:tcPr>
            <w:tcW w:w="1700" w:type="dxa"/>
            <w:tcBorders/>
            <w:shd w:fill="auto" w:val="clear"/>
          </w:tcPr>
          <w:p>
            <w:pPr>
              <w:pStyle w:val="Normal"/>
              <w:spacing w:lineRule="auto" w:line="240" w:before="0" w:after="0"/>
              <w:jc w:val="center"/>
              <w:rPr>
                <w:b/>
                <w:b/>
                <w:sz w:val="20"/>
                <w:szCs w:val="20"/>
              </w:rPr>
            </w:pPr>
            <w:r>
              <w:rPr>
                <w:b/>
                <w:sz w:val="20"/>
                <w:szCs w:val="20"/>
              </w:rPr>
              <w:t>Date</w:t>
            </w:r>
          </w:p>
        </w:tc>
        <w:tc>
          <w:tcPr>
            <w:tcW w:w="1277" w:type="dxa"/>
            <w:tcBorders/>
            <w:shd w:fill="auto" w:val="clear"/>
          </w:tcPr>
          <w:p>
            <w:pPr>
              <w:pStyle w:val="Normal"/>
              <w:spacing w:lineRule="auto" w:line="240" w:before="0" w:after="0"/>
              <w:jc w:val="center"/>
              <w:rPr>
                <w:b/>
                <w:b/>
                <w:sz w:val="20"/>
                <w:szCs w:val="20"/>
              </w:rPr>
            </w:pPr>
            <w:r>
              <w:rPr>
                <w:b/>
                <w:sz w:val="20"/>
                <w:szCs w:val="20"/>
              </w:rPr>
              <w:t>NPC meeting</w:t>
            </w:r>
          </w:p>
        </w:tc>
        <w:tc>
          <w:tcPr>
            <w:tcW w:w="2628" w:type="dxa"/>
            <w:tcBorders/>
            <w:shd w:fill="auto" w:val="clear"/>
          </w:tcPr>
          <w:p>
            <w:pPr>
              <w:pStyle w:val="Normal"/>
              <w:spacing w:lineRule="auto" w:line="240" w:before="0" w:after="0"/>
              <w:jc w:val="center"/>
              <w:rPr>
                <w:b/>
                <w:b/>
                <w:sz w:val="20"/>
                <w:szCs w:val="20"/>
              </w:rPr>
            </w:pPr>
            <w:r>
              <w:rPr>
                <w:b/>
                <w:sz w:val="20"/>
                <w:szCs w:val="20"/>
              </w:rPr>
              <w:t>Evidence</w:t>
            </w:r>
          </w:p>
        </w:tc>
        <w:tc>
          <w:tcPr>
            <w:tcW w:w="1424" w:type="dxa"/>
            <w:tcBorders/>
            <w:shd w:fill="auto" w:val="clear"/>
          </w:tcPr>
          <w:p>
            <w:pPr>
              <w:pStyle w:val="Normal"/>
              <w:spacing w:lineRule="auto" w:line="240" w:before="0" w:after="0"/>
              <w:jc w:val="center"/>
              <w:rPr>
                <w:b/>
                <w:b/>
                <w:sz w:val="20"/>
                <w:szCs w:val="20"/>
              </w:rPr>
            </w:pPr>
            <w:r>
              <w:rPr>
                <w:b/>
                <w:sz w:val="20"/>
                <w:szCs w:val="20"/>
              </w:rPr>
              <w:t>Electronically held?</w:t>
            </w:r>
          </w:p>
        </w:tc>
        <w:tc>
          <w:tcPr>
            <w:tcW w:w="1193" w:type="dxa"/>
            <w:tcBorders/>
            <w:shd w:fill="auto" w:val="clear"/>
          </w:tcPr>
          <w:p>
            <w:pPr>
              <w:pStyle w:val="Normal"/>
              <w:spacing w:lineRule="auto" w:line="240" w:before="0" w:after="0"/>
              <w:jc w:val="center"/>
              <w:rPr>
                <w:b/>
                <w:b/>
                <w:sz w:val="20"/>
                <w:szCs w:val="20"/>
              </w:rPr>
            </w:pPr>
            <w:r>
              <w:rPr>
                <w:b/>
                <w:sz w:val="20"/>
                <w:szCs w:val="20"/>
              </w:rPr>
              <w:t>Analysis available</w:t>
            </w:r>
          </w:p>
        </w:tc>
        <w:tc>
          <w:tcPr>
            <w:tcW w:w="1134" w:type="dxa"/>
            <w:tcBorders/>
            <w:shd w:fill="auto" w:val="clear"/>
          </w:tcPr>
          <w:p>
            <w:pPr>
              <w:pStyle w:val="Normal"/>
              <w:spacing w:lineRule="auto" w:line="240" w:before="0" w:after="0"/>
              <w:jc w:val="center"/>
              <w:rPr>
                <w:b/>
                <w:b/>
                <w:sz w:val="20"/>
                <w:szCs w:val="20"/>
              </w:rPr>
            </w:pPr>
            <w:r>
              <w:rPr>
                <w:b/>
                <w:sz w:val="20"/>
                <w:szCs w:val="20"/>
              </w:rPr>
              <w:t>% response</w:t>
            </w:r>
          </w:p>
        </w:tc>
        <w:tc>
          <w:tcPr>
            <w:tcW w:w="5102" w:type="dxa"/>
            <w:tcBorders/>
            <w:shd w:fill="auto" w:val="clear"/>
          </w:tcPr>
          <w:p>
            <w:pPr>
              <w:pStyle w:val="Normal"/>
              <w:spacing w:lineRule="auto" w:line="240" w:before="0" w:after="0"/>
              <w:jc w:val="center"/>
              <w:rPr>
                <w:b/>
                <w:b/>
                <w:sz w:val="20"/>
                <w:szCs w:val="20"/>
              </w:rPr>
            </w:pPr>
            <w:r>
              <w:rPr>
                <w:b/>
                <w:sz w:val="20"/>
                <w:szCs w:val="20"/>
              </w:rPr>
              <w:t>Changes made as a result of feedback given</w:t>
            </w:r>
          </w:p>
          <w:p>
            <w:pPr>
              <w:pStyle w:val="Normal"/>
              <w:spacing w:lineRule="auto" w:line="240" w:before="0" w:after="0"/>
              <w:jc w:val="center"/>
              <w:rPr>
                <w:b/>
                <w:b/>
                <w:sz w:val="20"/>
                <w:szCs w:val="20"/>
              </w:rPr>
            </w:pPr>
            <w:r>
              <w:rPr>
                <w:b/>
                <w:sz w:val="20"/>
                <w:szCs w:val="20"/>
              </w:rPr>
            </w:r>
          </w:p>
          <w:p>
            <w:pPr>
              <w:pStyle w:val="Normal"/>
              <w:spacing w:lineRule="auto" w:line="240" w:before="0" w:after="0"/>
              <w:jc w:val="center"/>
              <w:rPr>
                <w:i/>
                <w:i/>
                <w:sz w:val="20"/>
                <w:szCs w:val="20"/>
              </w:rPr>
            </w:pPr>
            <w:r>
              <w:rPr>
                <w:i/>
                <w:sz w:val="20"/>
                <w:szCs w:val="20"/>
              </w:rPr>
              <w:t>(Italics indicate a learning point for the NPC or a change to procedures which did not directly affect the composition of the plan itself)</w:t>
            </w:r>
          </w:p>
        </w:tc>
      </w:tr>
      <w:tr>
        <w:trPr/>
        <w:tc>
          <w:tcPr>
            <w:tcW w:w="1700" w:type="dxa"/>
            <w:tcBorders/>
            <w:shd w:color="auto" w:fill="E7E6E6" w:themeFill="background2" w:val="clear"/>
          </w:tcPr>
          <w:p>
            <w:pPr>
              <w:pStyle w:val="Normal"/>
              <w:spacing w:lineRule="auto" w:line="240" w:before="0" w:after="0"/>
              <w:rPr/>
            </w:pPr>
            <w:r>
              <w:rPr/>
              <w:t>26.01.2012</w:t>
            </w:r>
          </w:p>
        </w:tc>
        <w:tc>
          <w:tcPr>
            <w:tcW w:w="1277" w:type="dxa"/>
            <w:tcBorders/>
            <w:shd w:color="auto" w:fill="E7E6E6" w:themeFill="background2" w:val="clear"/>
          </w:tcPr>
          <w:p>
            <w:pPr>
              <w:pStyle w:val="Normal"/>
              <w:spacing w:lineRule="auto" w:line="240" w:before="0" w:after="0"/>
              <w:rPr/>
            </w:pPr>
            <w:r>
              <w:rPr/>
            </w:r>
          </w:p>
        </w:tc>
        <w:tc>
          <w:tcPr>
            <w:tcW w:w="2628" w:type="dxa"/>
            <w:tcBorders/>
            <w:shd w:color="auto" w:fill="E7E6E6" w:themeFill="background2" w:val="clear"/>
          </w:tcPr>
          <w:p>
            <w:pPr>
              <w:pStyle w:val="Normal"/>
              <w:spacing w:lineRule="auto" w:line="240" w:before="0" w:after="0"/>
              <w:rPr/>
            </w:pPr>
            <w:r>
              <w:rPr/>
              <w:t>Clerk’s first notes on NP process</w:t>
            </w:r>
          </w:p>
        </w:tc>
        <w:tc>
          <w:tcPr>
            <w:tcW w:w="1424" w:type="dxa"/>
            <w:tcBorders/>
            <w:shd w:color="auto" w:fill="E7E6E6" w:themeFill="background2" w:val="clear"/>
          </w:tcPr>
          <w:p>
            <w:pPr>
              <w:pStyle w:val="Normal"/>
              <w:spacing w:lineRule="auto" w:line="240" w:before="0" w:after="0"/>
              <w:rPr/>
            </w:pPr>
            <w:r>
              <w:rPr>
                <w:rFonts w:cs="Calibri" w:cstheme="minorHAnsi"/>
              </w:rPr>
              <w:t>√</w:t>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color="auto" w:fill="E7E6E6" w:themeFill="background2" w:val="clear"/>
          </w:tcPr>
          <w:p>
            <w:pPr>
              <w:pStyle w:val="Normal"/>
              <w:spacing w:lineRule="auto" w:line="240" w:before="0" w:after="0"/>
              <w:rPr/>
            </w:pPr>
            <w:r>
              <w:rPr/>
              <w:t>19.04 2012</w:t>
            </w:r>
          </w:p>
        </w:tc>
        <w:tc>
          <w:tcPr>
            <w:tcW w:w="1277" w:type="dxa"/>
            <w:tcBorders/>
            <w:shd w:color="auto" w:fill="E7E6E6" w:themeFill="background2" w:val="clear"/>
          </w:tcPr>
          <w:p>
            <w:pPr>
              <w:pStyle w:val="Normal"/>
              <w:spacing w:lineRule="auto" w:line="240" w:before="0" w:after="0"/>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t>Plans set for questionnaire to village residents-before production of first draft.</w:t>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color="auto" w:fill="E7E6E6" w:themeFill="background2" w:val="clear"/>
          </w:tcPr>
          <w:p>
            <w:pPr>
              <w:pStyle w:val="Normal"/>
              <w:spacing w:lineRule="auto" w:line="240" w:before="0" w:after="0"/>
              <w:rPr/>
            </w:pPr>
            <w:r>
              <w:rPr/>
              <w:t>20.04.2012</w:t>
            </w:r>
          </w:p>
        </w:tc>
        <w:tc>
          <w:tcPr>
            <w:tcW w:w="1277" w:type="dxa"/>
            <w:tcBorders/>
            <w:shd w:color="auto" w:fill="E7E6E6" w:themeFill="background2" w:val="clear"/>
          </w:tcPr>
          <w:p>
            <w:pPr>
              <w:pStyle w:val="Normal"/>
              <w:spacing w:lineRule="auto" w:line="240" w:before="0" w:after="0"/>
              <w:rPr/>
            </w:pPr>
            <w:r>
              <w:rPr/>
            </w:r>
          </w:p>
        </w:tc>
        <w:tc>
          <w:tcPr>
            <w:tcW w:w="2628" w:type="dxa"/>
            <w:tcBorders/>
            <w:shd w:color="auto" w:fill="E7E6E6" w:themeFill="background2" w:val="clear"/>
          </w:tcPr>
          <w:p>
            <w:pPr>
              <w:pStyle w:val="Normal"/>
              <w:spacing w:lineRule="auto" w:line="240" w:before="0" w:after="0"/>
              <w:rPr/>
            </w:pPr>
            <w:r>
              <w:rPr/>
              <w:t>Letter to Adrian Verrall of CCC-he had visited NPC earlier that month</w:t>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8.06.2012</w:t>
            </w:r>
          </w:p>
        </w:tc>
        <w:tc>
          <w:tcPr>
            <w:tcW w:w="1277" w:type="dxa"/>
            <w:tcBorders/>
            <w:shd w:color="auto" w:fill="E7E6E6" w:themeFill="background2" w:val="clear"/>
          </w:tcPr>
          <w:p>
            <w:pPr>
              <w:pStyle w:val="Normal"/>
              <w:spacing w:lineRule="auto" w:line="240" w:before="0" w:after="0"/>
              <w:rPr/>
            </w:pPr>
            <w:r>
              <w:rPr/>
            </w:r>
          </w:p>
        </w:tc>
        <w:tc>
          <w:tcPr>
            <w:tcW w:w="2628" w:type="dxa"/>
            <w:tcBorders/>
            <w:shd w:color="auto" w:fill="E7E6E6" w:themeFill="background2" w:val="clear"/>
          </w:tcPr>
          <w:p>
            <w:pPr>
              <w:pStyle w:val="Normal"/>
              <w:spacing w:lineRule="auto" w:line="240" w:before="0" w:after="0"/>
              <w:rPr/>
            </w:pPr>
            <w:r>
              <w:rPr/>
              <w:t>Closing date for receipt of questionnaire returns.  Questionnaire covers new housing, car parking and green spaces.</w:t>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pPr>
            <w:r>
              <w:rPr/>
              <w:t>19.06.2012</w:t>
            </w:r>
          </w:p>
        </w:tc>
        <w:tc>
          <w:tcPr>
            <w:tcW w:w="1277" w:type="dxa"/>
            <w:tcBorders/>
            <w:shd w:fill="auto" w:val="clear"/>
          </w:tcPr>
          <w:p>
            <w:pPr>
              <w:pStyle w:val="Normal"/>
              <w:spacing w:lineRule="auto" w:line="240" w:before="0" w:after="0"/>
              <w:rPr/>
            </w:pPr>
            <w:r>
              <w:rPr/>
            </w:r>
          </w:p>
        </w:tc>
        <w:tc>
          <w:tcPr>
            <w:tcW w:w="2628" w:type="dxa"/>
            <w:tcBorders/>
            <w:shd w:fill="auto" w:val="clear"/>
          </w:tcPr>
          <w:p>
            <w:pPr>
              <w:pStyle w:val="Normal"/>
              <w:spacing w:lineRule="auto" w:line="240" w:before="0" w:after="0"/>
              <w:rPr/>
            </w:pPr>
            <w:r>
              <w:rPr/>
              <w:t>335 replies received to June 2012 questionnaire. 50/50 split on more housing.  720 issued-one to each household.</w:t>
            </w:r>
          </w:p>
        </w:tc>
        <w:tc>
          <w:tcPr>
            <w:tcW w:w="1424" w:type="dxa"/>
            <w:tcBorders/>
            <w:shd w:fill="auto" w:val="clear"/>
          </w:tcPr>
          <w:p>
            <w:pPr>
              <w:pStyle w:val="Normal"/>
              <w:spacing w:lineRule="auto" w:line="240" w:before="0" w:after="0"/>
              <w:rPr/>
            </w:pPr>
            <w:r>
              <w:rPr/>
            </w:r>
          </w:p>
        </w:tc>
        <w:tc>
          <w:tcPr>
            <w:tcW w:w="1193" w:type="dxa"/>
            <w:tcBorders/>
            <w:shd w:fill="auto" w:val="clear"/>
          </w:tcPr>
          <w:p>
            <w:pPr>
              <w:pStyle w:val="Normal"/>
              <w:spacing w:lineRule="auto" w:line="240" w:before="0" w:after="0"/>
              <w:rPr/>
            </w:pPr>
            <w:r>
              <w:rPr>
                <w:rFonts w:cs="Calibri" w:cstheme="minorHAnsi"/>
              </w:rPr>
              <w:t>√</w:t>
            </w:r>
          </w:p>
        </w:tc>
        <w:tc>
          <w:tcPr>
            <w:tcW w:w="1134" w:type="dxa"/>
            <w:tcBorders/>
            <w:shd w:fill="auto" w:val="clear"/>
          </w:tcPr>
          <w:p>
            <w:pPr>
              <w:pStyle w:val="Normal"/>
              <w:spacing w:lineRule="auto" w:line="240" w:before="0" w:after="0"/>
              <w:rPr/>
            </w:pPr>
            <w:r>
              <w:rPr/>
              <w:t>47%</w:t>
            </w:r>
          </w:p>
        </w:tc>
        <w:tc>
          <w:tcPr>
            <w:tcW w:w="5102" w:type="dxa"/>
            <w:tcBorders/>
            <w:shd w:fill="auto" w:val="clear"/>
          </w:tcPr>
          <w:p>
            <w:pPr>
              <w:pStyle w:val="Normal"/>
              <w:spacing w:lineRule="auto" w:line="240" w:before="0" w:after="0"/>
              <w:rPr/>
            </w:pPr>
            <w:r>
              <w:rPr/>
              <w:t>See below for 25 August 2012</w:t>
            </w:r>
          </w:p>
        </w:tc>
      </w:tr>
      <w:tr>
        <w:trPr/>
        <w:tc>
          <w:tcPr>
            <w:tcW w:w="1700" w:type="dxa"/>
            <w:tcBorders/>
            <w:shd w:color="auto" w:fill="E7E6E6" w:themeFill="background2" w:val="clear"/>
          </w:tcPr>
          <w:p>
            <w:pPr>
              <w:pStyle w:val="Normal"/>
              <w:spacing w:lineRule="auto" w:line="240" w:before="0" w:after="0"/>
              <w:rPr/>
            </w:pPr>
            <w:r>
              <w:rPr/>
              <w:t>7.7.12</w:t>
            </w:r>
          </w:p>
        </w:tc>
        <w:tc>
          <w:tcPr>
            <w:tcW w:w="1277" w:type="dxa"/>
            <w:tcBorders/>
            <w:shd w:color="auto" w:fill="E7E6E6" w:themeFill="background2" w:val="clear"/>
          </w:tcPr>
          <w:p>
            <w:pPr>
              <w:pStyle w:val="Normal"/>
              <w:spacing w:lineRule="auto" w:line="240" w:before="0" w:after="0"/>
              <w:rPr/>
            </w:pPr>
            <w:r>
              <w:rPr/>
            </w:r>
          </w:p>
        </w:tc>
        <w:tc>
          <w:tcPr>
            <w:tcW w:w="2628" w:type="dxa"/>
            <w:tcBorders/>
            <w:shd w:color="auto" w:fill="E7E6E6" w:themeFill="background2" w:val="clear"/>
          </w:tcPr>
          <w:p>
            <w:pPr>
              <w:pStyle w:val="Normal"/>
              <w:spacing w:lineRule="auto" w:line="240" w:before="0" w:after="0"/>
              <w:rPr/>
            </w:pPr>
            <w:r>
              <w:rPr/>
              <w:t>Formal request by NPC  to CCC to register the NP</w:t>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31.7.2012</w:t>
            </w:r>
          </w:p>
        </w:tc>
        <w:tc>
          <w:tcPr>
            <w:tcW w:w="1277" w:type="dxa"/>
            <w:tcBorders/>
            <w:shd w:color="auto" w:fill="E7E6E6" w:themeFill="background2" w:val="clear"/>
          </w:tcPr>
          <w:p>
            <w:pPr>
              <w:pStyle w:val="Normal"/>
              <w:spacing w:lineRule="auto" w:line="240" w:before="0" w:after="0"/>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09.8.2012</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20.08.2012</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b/>
                <w:b/>
              </w:rPr>
            </w:pPr>
            <w:r>
              <w:rPr>
                <w:b/>
              </w:rPr>
              <w:t>25 August 2012</w:t>
            </w:r>
          </w:p>
        </w:tc>
        <w:tc>
          <w:tcPr>
            <w:tcW w:w="1277" w:type="dxa"/>
            <w:tcBorders/>
            <w:shd w:fill="auto" w:val="clear"/>
          </w:tcPr>
          <w:p>
            <w:pPr>
              <w:pStyle w:val="Normal"/>
              <w:spacing w:lineRule="auto" w:line="240" w:before="0" w:after="0"/>
              <w:rPr>
                <w:b/>
                <w:b/>
              </w:rPr>
            </w:pPr>
            <w:r>
              <w:rPr>
                <w:b/>
              </w:rPr>
            </w:r>
          </w:p>
        </w:tc>
        <w:tc>
          <w:tcPr>
            <w:tcW w:w="2628" w:type="dxa"/>
            <w:tcBorders/>
            <w:shd w:fill="auto" w:val="clear"/>
          </w:tcPr>
          <w:p>
            <w:pPr>
              <w:pStyle w:val="Normal"/>
              <w:spacing w:lineRule="auto" w:line="240" w:before="0" w:after="0"/>
              <w:rPr>
                <w:b/>
                <w:b/>
              </w:rPr>
            </w:pPr>
            <w:r>
              <w:rPr>
                <w:b/>
              </w:rPr>
              <w:t>Village Hall exhibition showing results of questionnaire- a list of relevant issues emerged from this.</w:t>
            </w:r>
          </w:p>
        </w:tc>
        <w:tc>
          <w:tcPr>
            <w:tcW w:w="1424" w:type="dxa"/>
            <w:tcBorders/>
            <w:shd w:fill="auto" w:val="clear"/>
          </w:tcPr>
          <w:p>
            <w:pPr>
              <w:pStyle w:val="Normal"/>
              <w:spacing w:lineRule="auto" w:line="240" w:before="0" w:after="0"/>
              <w:rPr/>
            </w:pPr>
            <w:r>
              <w:rPr/>
            </w:r>
          </w:p>
        </w:tc>
        <w:tc>
          <w:tcPr>
            <w:tcW w:w="1193" w:type="dxa"/>
            <w:tcBorders/>
            <w:shd w:fill="auto" w:val="clear"/>
          </w:tcPr>
          <w:p>
            <w:pPr>
              <w:pStyle w:val="Normal"/>
              <w:spacing w:lineRule="auto" w:line="240" w:before="0" w:after="0"/>
              <w:rPr/>
            </w:pPr>
            <w:r>
              <w:rPr/>
            </w:r>
          </w:p>
        </w:tc>
        <w:tc>
          <w:tcPr>
            <w:tcW w:w="1134" w:type="dxa"/>
            <w:tcBorders/>
            <w:shd w:fill="auto" w:val="clear"/>
          </w:tcPr>
          <w:p>
            <w:pPr>
              <w:pStyle w:val="Normal"/>
              <w:spacing w:lineRule="auto" w:line="240" w:before="0" w:after="0"/>
              <w:rPr/>
            </w:pPr>
            <w:r>
              <w:rPr/>
              <w:t>47%</w:t>
            </w:r>
          </w:p>
        </w:tc>
        <w:tc>
          <w:tcPr>
            <w:tcW w:w="5102" w:type="dxa"/>
            <w:tcBorders/>
            <w:shd w:fill="auto" w:val="clear"/>
          </w:tcPr>
          <w:p>
            <w:pPr>
              <w:pStyle w:val="Normal"/>
              <w:spacing w:lineRule="auto" w:line="240" w:before="0" w:after="0"/>
              <w:rPr/>
            </w:pPr>
            <w:r>
              <w:rPr/>
              <w:t>Insufficient provision for cyclists in Bridge (appeared in the final 2018 Regulation 16 NP as policy B1).</w:t>
            </w:r>
          </w:p>
          <w:p>
            <w:pPr>
              <w:pStyle w:val="Normal"/>
              <w:spacing w:lineRule="auto" w:line="240" w:before="0" w:after="0"/>
              <w:rPr/>
            </w:pPr>
            <w:r>
              <w:rPr/>
            </w:r>
          </w:p>
          <w:p>
            <w:pPr>
              <w:pStyle w:val="Normal"/>
              <w:spacing w:lineRule="auto" w:line="240" w:before="0" w:after="0"/>
              <w:rPr/>
            </w:pPr>
            <w:r>
              <w:rPr/>
              <w:t>Strong resistance to expansion of the school (76% of respondents)-explains project D2  in the final 2018 Regulation 16 NP plan.</w:t>
            </w:r>
          </w:p>
        </w:tc>
      </w:tr>
      <w:tr>
        <w:trPr/>
        <w:tc>
          <w:tcPr>
            <w:tcW w:w="1700" w:type="dxa"/>
            <w:tcBorders/>
            <w:shd w:color="auto" w:fill="E7E6E6" w:themeFill="background2" w:val="clear"/>
          </w:tcPr>
          <w:p>
            <w:pPr>
              <w:pStyle w:val="Normal"/>
              <w:spacing w:lineRule="auto" w:line="240" w:before="0" w:after="0"/>
              <w:rPr>
                <w:b/>
                <w:b/>
              </w:rPr>
            </w:pPr>
            <w:r>
              <w:rPr>
                <w:b/>
              </w:rPr>
              <w:t>30.08.2012</w:t>
            </w:r>
          </w:p>
        </w:tc>
        <w:tc>
          <w:tcPr>
            <w:tcW w:w="1277" w:type="dxa"/>
            <w:tcBorders/>
            <w:shd w:color="auto" w:fill="E7E6E6" w:themeFill="background2" w:val="clear"/>
          </w:tcPr>
          <w:p>
            <w:pPr>
              <w:pStyle w:val="Normal"/>
              <w:spacing w:lineRule="auto" w:line="240" w:before="0" w:after="0"/>
              <w:rPr>
                <w:b/>
                <w:b/>
              </w:rPr>
            </w:pPr>
            <w:r>
              <w:rPr>
                <w:b/>
              </w:rPr>
            </w:r>
          </w:p>
        </w:tc>
        <w:tc>
          <w:tcPr>
            <w:tcW w:w="2628" w:type="dxa"/>
            <w:tcBorders/>
            <w:shd w:color="auto" w:fill="E7E6E6" w:themeFill="background2" w:val="clear"/>
          </w:tcPr>
          <w:p>
            <w:pPr>
              <w:pStyle w:val="Normal"/>
              <w:spacing w:lineRule="auto" w:line="240" w:before="0" w:after="0"/>
              <w:rPr>
                <w:b/>
                <w:b/>
              </w:rPr>
            </w:pPr>
            <w:r>
              <w:rPr>
                <w:b/>
              </w:rPr>
              <w:t>CCC has no objection to NP area nor to the Parish Council bringing one forward</w:t>
            </w:r>
          </w:p>
        </w:tc>
        <w:tc>
          <w:tcPr>
            <w:tcW w:w="1424" w:type="dxa"/>
            <w:tcBorders/>
            <w:shd w:color="auto" w:fill="E7E6E6" w:themeFill="background2" w:val="clear"/>
          </w:tcPr>
          <w:p>
            <w:pPr>
              <w:pStyle w:val="Normal"/>
              <w:spacing w:lineRule="auto" w:line="240" w:before="0" w:after="0"/>
              <w:rPr/>
            </w:pPr>
            <w:r>
              <w:rPr>
                <w:rFonts w:cs="Calibri" w:cstheme="minorHAnsi"/>
              </w:rPr>
              <w:t>√</w:t>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color="auto" w:fill="E7E6E6" w:themeFill="background2" w:val="clear"/>
          </w:tcPr>
          <w:p>
            <w:pPr>
              <w:pStyle w:val="Normal"/>
              <w:spacing w:lineRule="auto" w:line="240" w:before="0" w:after="0"/>
              <w:rPr/>
            </w:pPr>
            <w:r>
              <w:rPr/>
              <w:t>21.09.2012</w:t>
            </w:r>
          </w:p>
        </w:tc>
        <w:tc>
          <w:tcPr>
            <w:tcW w:w="1277" w:type="dxa"/>
            <w:tcBorders/>
            <w:shd w:color="auto" w:fill="E7E6E6" w:themeFill="background2" w:val="clear"/>
          </w:tcPr>
          <w:p>
            <w:pPr>
              <w:pStyle w:val="Normal"/>
              <w:spacing w:lineRule="auto" w:line="240" w:before="0" w:after="0"/>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pPr>
            <w:r>
              <w:rPr/>
              <w:t>09.10.2012</w:t>
            </w:r>
          </w:p>
        </w:tc>
        <w:tc>
          <w:tcPr>
            <w:tcW w:w="1277" w:type="dxa"/>
            <w:tcBorders/>
            <w:shd w:fill="auto" w:val="clear"/>
          </w:tcPr>
          <w:p>
            <w:pPr>
              <w:pStyle w:val="Normal"/>
              <w:spacing w:lineRule="auto" w:line="240" w:before="0" w:after="0"/>
              <w:rPr>
                <w:rFonts w:cs="Calibri" w:cstheme="minorHAnsi"/>
              </w:rPr>
            </w:pPr>
            <w:r>
              <w:rPr>
                <w:rFonts w:cs="Calibri" w:cstheme="minorHAnsi"/>
              </w:rPr>
              <w:t xml:space="preserve">√ </w:t>
            </w:r>
            <w:r>
              <w:rPr>
                <w:rFonts w:cs="Calibri" w:cstheme="minorHAnsi"/>
              </w:rPr>
              <w:t>Stella Meesters from Planning Aid</w:t>
            </w:r>
          </w:p>
        </w:tc>
        <w:tc>
          <w:tcPr>
            <w:tcW w:w="2628" w:type="dxa"/>
            <w:tcBorders/>
            <w:shd w:fill="auto" w:val="clear"/>
          </w:tcPr>
          <w:p>
            <w:pPr>
              <w:pStyle w:val="Normal"/>
              <w:spacing w:lineRule="auto" w:line="240" w:before="0" w:after="0"/>
              <w:rPr/>
            </w:pPr>
            <w:r>
              <w:rPr/>
            </w:r>
          </w:p>
        </w:tc>
        <w:tc>
          <w:tcPr>
            <w:tcW w:w="1424" w:type="dxa"/>
            <w:tcBorders/>
            <w:shd w:fill="auto" w:val="clear"/>
          </w:tcPr>
          <w:p>
            <w:pPr>
              <w:pStyle w:val="Normal"/>
              <w:spacing w:lineRule="auto" w:line="240" w:before="0" w:after="0"/>
              <w:rPr/>
            </w:pPr>
            <w:r>
              <w:rPr/>
            </w:r>
          </w:p>
        </w:tc>
        <w:tc>
          <w:tcPr>
            <w:tcW w:w="1193" w:type="dxa"/>
            <w:tcBorders/>
            <w:shd w:fill="auto" w:val="clear"/>
          </w:tcPr>
          <w:p>
            <w:pPr>
              <w:pStyle w:val="Normal"/>
              <w:spacing w:lineRule="auto" w:line="240" w:before="0" w:after="0"/>
              <w:rPr/>
            </w:pPr>
            <w:r>
              <w:rPr/>
            </w:r>
          </w:p>
        </w:tc>
        <w:tc>
          <w:tcPr>
            <w:tcW w:w="1134" w:type="dxa"/>
            <w:tcBorders/>
            <w:shd w:fill="auto" w:val="clear"/>
          </w:tcPr>
          <w:p>
            <w:pPr>
              <w:pStyle w:val="Normal"/>
              <w:spacing w:lineRule="auto" w:line="240" w:before="0" w:after="0"/>
              <w:rPr/>
            </w:pPr>
            <w:r>
              <w:rPr/>
            </w:r>
          </w:p>
        </w:tc>
        <w:tc>
          <w:tcPr>
            <w:tcW w:w="5102" w:type="dxa"/>
            <w:tcBorders/>
            <w:shd w:fill="auto" w:val="clear"/>
          </w:tcPr>
          <w:p>
            <w:pPr>
              <w:pStyle w:val="Normal"/>
              <w:spacing w:lineRule="auto" w:line="240" w:before="0" w:after="0"/>
              <w:rPr>
                <w:i/>
                <w:i/>
              </w:rPr>
            </w:pPr>
            <w:r>
              <w:rPr>
                <w:i/>
              </w:rPr>
              <w:t>Stella outlined the limitations of a NP to the committee-what it can and cannot achieve for a local community</w:t>
            </w:r>
          </w:p>
        </w:tc>
      </w:tr>
      <w:tr>
        <w:trPr/>
        <w:tc>
          <w:tcPr>
            <w:tcW w:w="1700" w:type="dxa"/>
            <w:tcBorders/>
            <w:shd w:color="auto" w:fill="E7E6E6" w:themeFill="background2" w:val="clear"/>
          </w:tcPr>
          <w:p>
            <w:pPr>
              <w:pStyle w:val="Normal"/>
              <w:spacing w:lineRule="auto" w:line="240" w:before="0" w:after="0"/>
              <w:rPr/>
            </w:pPr>
            <w:r>
              <w:rPr/>
              <w:t>25 October 2012</w:t>
            </w:r>
          </w:p>
        </w:tc>
        <w:tc>
          <w:tcPr>
            <w:tcW w:w="1277" w:type="dxa"/>
            <w:tcBorders/>
            <w:shd w:color="auto" w:fill="E7E6E6" w:themeFill="background2" w:val="clear"/>
          </w:tcPr>
          <w:p>
            <w:pPr>
              <w:pStyle w:val="Normal"/>
              <w:spacing w:lineRule="auto" w:line="240" w:before="0" w:after="0"/>
              <w:rPr/>
            </w:pPr>
            <w:r>
              <w:rPr/>
            </w:r>
          </w:p>
        </w:tc>
        <w:tc>
          <w:tcPr>
            <w:tcW w:w="2628" w:type="dxa"/>
            <w:tcBorders/>
            <w:shd w:color="auto" w:fill="E7E6E6" w:themeFill="background2" w:val="clear"/>
          </w:tcPr>
          <w:p>
            <w:pPr>
              <w:pStyle w:val="Normal"/>
              <w:spacing w:lineRule="auto" w:line="240" w:before="0" w:after="0"/>
              <w:rPr/>
            </w:pPr>
            <w:r>
              <w:rPr/>
              <w:t>BNPC committee members meet Adrian Verrall-as still no response to letter of 7 July 2012 had been received.</w:t>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05.04.2013</w:t>
            </w:r>
          </w:p>
        </w:tc>
        <w:tc>
          <w:tcPr>
            <w:tcW w:w="1277" w:type="dxa"/>
            <w:tcBorders/>
            <w:shd w:color="auto" w:fill="E7E6E6" w:themeFill="background2" w:val="clear"/>
          </w:tcPr>
          <w:p>
            <w:pPr>
              <w:pStyle w:val="Normal"/>
              <w:spacing w:lineRule="auto" w:line="240" w:before="0" w:after="0"/>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26.04.2013</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24.05.2013</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b/>
                <w:b/>
              </w:rPr>
            </w:pPr>
            <w:r>
              <w:rPr>
                <w:b/>
              </w:rPr>
              <w:t>Spring 2013</w:t>
            </w:r>
          </w:p>
        </w:tc>
        <w:tc>
          <w:tcPr>
            <w:tcW w:w="1277" w:type="dxa"/>
            <w:tcBorders/>
            <w:shd w:color="auto" w:fill="E7E6E6" w:themeFill="background2" w:val="clear"/>
          </w:tcPr>
          <w:p>
            <w:pPr>
              <w:pStyle w:val="Normal"/>
              <w:spacing w:lineRule="auto" w:line="240" w:before="0" w:after="0"/>
              <w:rPr>
                <w:rFonts w:cs="Calibri" w:cstheme="minorHAnsi"/>
                <w:b/>
                <w:b/>
              </w:rPr>
            </w:pPr>
            <w:r>
              <w:rPr>
                <w:rFonts w:cs="Calibri" w:cstheme="minorHAnsi"/>
                <w:b/>
              </w:rPr>
            </w:r>
          </w:p>
        </w:tc>
        <w:tc>
          <w:tcPr>
            <w:tcW w:w="2628" w:type="dxa"/>
            <w:tcBorders/>
            <w:shd w:color="auto" w:fill="E7E6E6" w:themeFill="background2" w:val="clear"/>
          </w:tcPr>
          <w:p>
            <w:pPr>
              <w:pStyle w:val="Normal"/>
              <w:spacing w:lineRule="auto" w:line="240" w:before="0" w:after="0"/>
              <w:rPr>
                <w:b/>
                <w:b/>
              </w:rPr>
            </w:pPr>
            <w:r>
              <w:rPr>
                <w:b/>
              </w:rPr>
              <w:t>Parish newsletter to all households outlines the NP to villagers</w:t>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b/>
                <w:b/>
              </w:rPr>
            </w:pPr>
            <w:r>
              <w:rPr>
                <w:b/>
              </w:rPr>
              <w:t>1.06.2013</w:t>
            </w:r>
          </w:p>
        </w:tc>
        <w:tc>
          <w:tcPr>
            <w:tcW w:w="1277" w:type="dxa"/>
            <w:tcBorders/>
            <w:shd w:fill="auto" w:val="clear"/>
          </w:tcPr>
          <w:p>
            <w:pPr>
              <w:pStyle w:val="Normal"/>
              <w:spacing w:lineRule="auto" w:line="240" w:before="0" w:after="0"/>
              <w:rPr>
                <w:rFonts w:cs="Calibri" w:cstheme="minorHAnsi"/>
                <w:b/>
                <w:b/>
              </w:rPr>
            </w:pPr>
            <w:r>
              <w:rPr>
                <w:rFonts w:cs="Calibri" w:cstheme="minorHAnsi"/>
                <w:b/>
              </w:rPr>
            </w:r>
          </w:p>
        </w:tc>
        <w:tc>
          <w:tcPr>
            <w:tcW w:w="2628" w:type="dxa"/>
            <w:tcBorders/>
            <w:shd w:fill="auto" w:val="clear"/>
          </w:tcPr>
          <w:p>
            <w:pPr>
              <w:pStyle w:val="Normal"/>
              <w:spacing w:lineRule="auto" w:line="240" w:before="0" w:after="0"/>
              <w:rPr>
                <w:b/>
                <w:b/>
              </w:rPr>
            </w:pPr>
            <w:r>
              <w:rPr>
                <w:b/>
              </w:rPr>
              <w:t>Village Hall exhibition representing results of August 2012 questionnaire</w:t>
            </w:r>
          </w:p>
        </w:tc>
        <w:tc>
          <w:tcPr>
            <w:tcW w:w="1424" w:type="dxa"/>
            <w:tcBorders/>
            <w:shd w:fill="auto" w:val="clear"/>
          </w:tcPr>
          <w:p>
            <w:pPr>
              <w:pStyle w:val="Normal"/>
              <w:spacing w:lineRule="auto" w:line="240" w:before="0" w:after="0"/>
              <w:rPr/>
            </w:pPr>
            <w:r>
              <w:rPr/>
            </w:r>
          </w:p>
        </w:tc>
        <w:tc>
          <w:tcPr>
            <w:tcW w:w="1193" w:type="dxa"/>
            <w:tcBorders/>
            <w:shd w:fill="auto" w:val="clear"/>
          </w:tcPr>
          <w:p>
            <w:pPr>
              <w:pStyle w:val="Normal"/>
              <w:spacing w:lineRule="auto" w:line="240" w:before="0" w:after="0"/>
              <w:rPr/>
            </w:pPr>
            <w:r>
              <w:rPr/>
            </w:r>
          </w:p>
        </w:tc>
        <w:tc>
          <w:tcPr>
            <w:tcW w:w="1134" w:type="dxa"/>
            <w:tcBorders/>
            <w:shd w:fill="auto" w:val="clear"/>
          </w:tcPr>
          <w:p>
            <w:pPr>
              <w:pStyle w:val="Normal"/>
              <w:spacing w:lineRule="auto" w:line="240" w:before="0" w:after="0"/>
              <w:rPr/>
            </w:pPr>
            <w:r>
              <w:rPr/>
              <w:t>102 residents attended. 42 questionnaires returned.</w:t>
            </w:r>
          </w:p>
        </w:tc>
        <w:tc>
          <w:tcPr>
            <w:tcW w:w="5102" w:type="dxa"/>
            <w:tcBorders/>
            <w:shd w:fill="auto" w:val="clear"/>
          </w:tcPr>
          <w:p>
            <w:pPr>
              <w:pStyle w:val="Normal"/>
              <w:spacing w:before="0" w:after="0"/>
              <w:rPr/>
            </w:pPr>
            <w:r>
              <w:rPr/>
              <w:t xml:space="preserve">Exhibition invited villagers to raise issues to be placed in the NP. </w:t>
            </w:r>
          </w:p>
          <w:p>
            <w:pPr>
              <w:pStyle w:val="ListParagraph"/>
              <w:numPr>
                <w:ilvl w:val="0"/>
                <w:numId w:val="3"/>
              </w:numPr>
              <w:spacing w:before="0" w:after="0"/>
              <w:rPr>
                <w:rFonts w:ascii="Calibri" w:hAnsi="Calibri" w:cs="Calibri"/>
                <w:sz w:val="22"/>
                <w:szCs w:val="22"/>
              </w:rPr>
            </w:pPr>
            <w:r>
              <w:rPr>
                <w:rFonts w:cs="Calibri" w:ascii="Calibri" w:hAnsi="Calibri"/>
                <w:sz w:val="22"/>
                <w:szCs w:val="22"/>
              </w:rPr>
              <w:t xml:space="preserve">By November 2013 these resulted in draft objectives for the NP (NPC meeting of 15 Nov 2013 ) </w:t>
            </w:r>
          </w:p>
          <w:p>
            <w:pPr>
              <w:pStyle w:val="ListParagraph"/>
              <w:numPr>
                <w:ilvl w:val="0"/>
                <w:numId w:val="3"/>
              </w:numPr>
              <w:spacing w:before="0" w:after="0"/>
              <w:rPr/>
            </w:pPr>
            <w:r>
              <w:rPr>
                <w:rFonts w:cs="Calibri" w:ascii="Calibri" w:hAnsi="Calibri"/>
                <w:sz w:val="22"/>
                <w:szCs w:val="22"/>
              </w:rPr>
              <w:t>The creation of a website (13 December 2013  meeting of the NPC)</w:t>
            </w:r>
          </w:p>
        </w:tc>
      </w:tr>
      <w:tr>
        <w:trPr/>
        <w:tc>
          <w:tcPr>
            <w:tcW w:w="1700" w:type="dxa"/>
            <w:tcBorders/>
            <w:shd w:color="auto" w:fill="E7E6E6" w:themeFill="background2" w:val="clear"/>
          </w:tcPr>
          <w:p>
            <w:pPr>
              <w:pStyle w:val="Normal"/>
              <w:spacing w:lineRule="auto" w:line="240" w:before="0" w:after="0"/>
              <w:rPr/>
            </w:pPr>
            <w:r>
              <w:rPr/>
              <w:t>11.06.2013</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b/>
                <w:b/>
              </w:rPr>
            </w:pPr>
            <w:r>
              <w:rPr>
                <w:b/>
              </w:rPr>
              <w:t>25.06.2013</w:t>
            </w:r>
          </w:p>
        </w:tc>
        <w:tc>
          <w:tcPr>
            <w:tcW w:w="1277" w:type="dxa"/>
            <w:tcBorders/>
            <w:shd w:fill="auto" w:val="clear"/>
          </w:tcPr>
          <w:p>
            <w:pPr>
              <w:pStyle w:val="Normal"/>
              <w:spacing w:lineRule="auto" w:line="240" w:before="0" w:after="0"/>
              <w:rPr>
                <w:rFonts w:cs="Calibri" w:cstheme="minorHAnsi"/>
                <w:b/>
                <w:b/>
              </w:rPr>
            </w:pPr>
            <w:r>
              <w:rPr>
                <w:rFonts w:cs="Calibri" w:cstheme="minorHAnsi"/>
                <w:b/>
              </w:rPr>
            </w:r>
          </w:p>
        </w:tc>
        <w:tc>
          <w:tcPr>
            <w:tcW w:w="2628" w:type="dxa"/>
            <w:tcBorders/>
            <w:shd w:fill="auto" w:val="clear"/>
          </w:tcPr>
          <w:p>
            <w:pPr>
              <w:pStyle w:val="Normal"/>
              <w:spacing w:lineRule="auto" w:line="240" w:before="0" w:after="0"/>
              <w:rPr>
                <w:b/>
                <w:b/>
              </w:rPr>
            </w:pPr>
            <w:r>
              <w:rPr>
                <w:b/>
              </w:rPr>
              <w:t xml:space="preserve">School Fete exhibition </w:t>
            </w:r>
          </w:p>
        </w:tc>
        <w:tc>
          <w:tcPr>
            <w:tcW w:w="1424" w:type="dxa"/>
            <w:tcBorders/>
            <w:shd w:fill="auto" w:val="clear"/>
          </w:tcPr>
          <w:p>
            <w:pPr>
              <w:pStyle w:val="Normal"/>
              <w:spacing w:lineRule="auto" w:line="240" w:before="0" w:after="0"/>
              <w:rPr/>
            </w:pPr>
            <w:r>
              <w:rPr>
                <w:rFonts w:cs="Calibri" w:cstheme="minorHAnsi"/>
              </w:rPr>
              <w:t>√</w:t>
            </w:r>
          </w:p>
        </w:tc>
        <w:tc>
          <w:tcPr>
            <w:tcW w:w="1193" w:type="dxa"/>
            <w:tcBorders/>
            <w:shd w:fill="auto" w:val="clear"/>
          </w:tcPr>
          <w:p>
            <w:pPr>
              <w:pStyle w:val="Normal"/>
              <w:spacing w:lineRule="auto" w:line="240" w:before="0" w:after="0"/>
              <w:rPr/>
            </w:pPr>
            <w:r>
              <w:rPr>
                <w:rFonts w:cs="Calibri" w:cstheme="minorHAnsi"/>
              </w:rPr>
              <w:t>√</w:t>
            </w:r>
          </w:p>
        </w:tc>
        <w:tc>
          <w:tcPr>
            <w:tcW w:w="1134" w:type="dxa"/>
            <w:tcBorders/>
            <w:shd w:fill="auto" w:val="clear"/>
          </w:tcPr>
          <w:p>
            <w:pPr>
              <w:pStyle w:val="Normal"/>
              <w:spacing w:lineRule="auto" w:line="240" w:before="0" w:after="0"/>
              <w:rPr/>
            </w:pPr>
            <w:r>
              <w:rPr/>
            </w:r>
          </w:p>
        </w:tc>
        <w:tc>
          <w:tcPr>
            <w:tcW w:w="5102" w:type="dxa"/>
            <w:tcBorders/>
            <w:shd w:fill="auto" w:val="clear"/>
          </w:tcPr>
          <w:p>
            <w:pPr>
              <w:pStyle w:val="Normal"/>
              <w:spacing w:lineRule="auto" w:line="240" w:before="0" w:after="0"/>
              <w:rPr/>
            </w:pPr>
            <w:r>
              <w:rPr/>
              <w:t>Repeated the exhibition of 1 June 2013 @ Bridge Primary School</w:t>
            </w:r>
          </w:p>
        </w:tc>
      </w:tr>
      <w:tr>
        <w:trPr/>
        <w:tc>
          <w:tcPr>
            <w:tcW w:w="1700" w:type="dxa"/>
            <w:tcBorders/>
            <w:shd w:color="auto" w:fill="E7E6E6" w:themeFill="background2" w:val="clear"/>
          </w:tcPr>
          <w:p>
            <w:pPr>
              <w:pStyle w:val="Normal"/>
              <w:spacing w:lineRule="auto" w:line="240" w:before="0" w:after="0"/>
              <w:rPr>
                <w:b/>
                <w:b/>
              </w:rPr>
            </w:pPr>
            <w:r>
              <w:rPr>
                <w:b/>
              </w:rPr>
              <w:t>June 2013</w:t>
            </w:r>
          </w:p>
        </w:tc>
        <w:tc>
          <w:tcPr>
            <w:tcW w:w="1277" w:type="dxa"/>
            <w:tcBorders/>
            <w:shd w:color="auto" w:fill="E7E6E6" w:themeFill="background2" w:val="clear"/>
          </w:tcPr>
          <w:p>
            <w:pPr>
              <w:pStyle w:val="Normal"/>
              <w:spacing w:lineRule="auto" w:line="240" w:before="0" w:after="0"/>
              <w:rPr>
                <w:rFonts w:cs="Calibri" w:cstheme="minorHAnsi"/>
                <w:b/>
                <w:b/>
              </w:rPr>
            </w:pPr>
            <w:r>
              <w:rPr>
                <w:rFonts w:cs="Calibri" w:cstheme="minorHAnsi"/>
                <w:b/>
              </w:rPr>
            </w:r>
          </w:p>
        </w:tc>
        <w:tc>
          <w:tcPr>
            <w:tcW w:w="2628" w:type="dxa"/>
            <w:tcBorders/>
            <w:shd w:color="auto" w:fill="E7E6E6" w:themeFill="background2" w:val="clear"/>
          </w:tcPr>
          <w:p>
            <w:pPr>
              <w:pStyle w:val="Normal"/>
              <w:spacing w:lineRule="auto" w:line="240" w:before="0" w:after="0"/>
              <w:rPr>
                <w:b/>
                <w:b/>
              </w:rPr>
            </w:pPr>
            <w:r>
              <w:rPr>
                <w:b/>
              </w:rPr>
              <w:t>Village Design Statement published</w:t>
            </w:r>
          </w:p>
        </w:tc>
        <w:tc>
          <w:tcPr>
            <w:tcW w:w="1424" w:type="dxa"/>
            <w:tcBorders/>
            <w:shd w:color="auto" w:fill="E7E6E6" w:themeFill="background2" w:val="clear"/>
          </w:tcPr>
          <w:p>
            <w:pPr>
              <w:pStyle w:val="Normal"/>
              <w:spacing w:lineRule="auto" w:line="240" w:before="0" w:after="0"/>
              <w:rPr/>
            </w:pPr>
            <w:r>
              <w:rPr>
                <w:rFonts w:cs="Calibri" w:cstheme="minorHAnsi"/>
              </w:rPr>
              <w:t>√</w:t>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color="auto" w:fill="E7E6E6" w:themeFill="background2" w:val="clear"/>
          </w:tcPr>
          <w:p>
            <w:pPr>
              <w:pStyle w:val="Normal"/>
              <w:spacing w:lineRule="auto" w:line="240" w:before="0" w:after="0"/>
              <w:rPr>
                <w:b/>
                <w:b/>
              </w:rPr>
            </w:pPr>
            <w:r>
              <w:rPr>
                <w:b/>
              </w:rPr>
              <w:t>July 2013</w:t>
            </w:r>
          </w:p>
        </w:tc>
        <w:tc>
          <w:tcPr>
            <w:tcW w:w="1277" w:type="dxa"/>
            <w:tcBorders/>
            <w:shd w:color="auto" w:fill="E7E6E6" w:themeFill="background2" w:val="clear"/>
          </w:tcPr>
          <w:p>
            <w:pPr>
              <w:pStyle w:val="Normal"/>
              <w:spacing w:lineRule="auto" w:line="240" w:before="0" w:after="0"/>
              <w:rPr>
                <w:rFonts w:cs="Calibri" w:cstheme="minorHAnsi"/>
                <w:b/>
                <w:b/>
              </w:rPr>
            </w:pPr>
            <w:r>
              <w:rPr>
                <w:rFonts w:cs="Calibri" w:cstheme="minorHAnsi"/>
                <w:b/>
              </w:rPr>
            </w:r>
          </w:p>
        </w:tc>
        <w:tc>
          <w:tcPr>
            <w:tcW w:w="2628" w:type="dxa"/>
            <w:tcBorders/>
            <w:shd w:color="auto" w:fill="E7E6E6" w:themeFill="background2" w:val="clear"/>
          </w:tcPr>
          <w:p>
            <w:pPr>
              <w:pStyle w:val="Normal"/>
              <w:spacing w:lineRule="auto" w:line="240" w:before="0" w:after="0"/>
              <w:rPr>
                <w:b/>
                <w:b/>
              </w:rPr>
            </w:pPr>
            <w:r>
              <w:rPr>
                <w:b/>
              </w:rPr>
              <w:t>Approval accorded by CCC for a NP to be prepared</w:t>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color="auto" w:fill="E7E6E6" w:themeFill="background2" w:val="clear"/>
          </w:tcPr>
          <w:p>
            <w:pPr>
              <w:pStyle w:val="Normal"/>
              <w:spacing w:lineRule="auto" w:line="240" w:before="0" w:after="0"/>
              <w:rPr/>
            </w:pPr>
            <w:r>
              <w:rPr/>
              <w:t>08.07.2013</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pPr>
            <w:r>
              <w:rPr/>
              <w:t>09.08.2013</w:t>
            </w:r>
          </w:p>
        </w:tc>
        <w:tc>
          <w:tcPr>
            <w:tcW w:w="1277" w:type="dxa"/>
            <w:tcBorders/>
            <w:shd w:fill="auto" w:val="clear"/>
          </w:tcPr>
          <w:p>
            <w:pPr>
              <w:pStyle w:val="Normal"/>
              <w:spacing w:lineRule="auto" w:line="240" w:before="0" w:after="0"/>
              <w:rPr>
                <w:rFonts w:cs="Calibri" w:cstheme="minorHAnsi"/>
              </w:rPr>
            </w:pPr>
            <w:r>
              <w:rPr>
                <w:rFonts w:cs="Calibri" w:cstheme="minorHAnsi"/>
              </w:rPr>
              <w:t xml:space="preserve">√  </w:t>
            </w:r>
            <w:r>
              <w:rPr>
                <w:rFonts w:cs="Calibri" w:cstheme="minorHAnsi"/>
              </w:rPr>
              <w:t>Stella Scrivener from Planning Aid</w:t>
            </w:r>
          </w:p>
        </w:tc>
        <w:tc>
          <w:tcPr>
            <w:tcW w:w="2628" w:type="dxa"/>
            <w:tcBorders/>
            <w:shd w:fill="auto" w:val="clear"/>
          </w:tcPr>
          <w:p>
            <w:pPr>
              <w:pStyle w:val="Normal"/>
              <w:spacing w:lineRule="auto" w:line="240" w:before="0" w:after="0"/>
              <w:rPr/>
            </w:pPr>
            <w:r>
              <w:rPr/>
            </w:r>
          </w:p>
        </w:tc>
        <w:tc>
          <w:tcPr>
            <w:tcW w:w="1424" w:type="dxa"/>
            <w:tcBorders/>
            <w:shd w:fill="auto" w:val="clear"/>
          </w:tcPr>
          <w:p>
            <w:pPr>
              <w:pStyle w:val="Normal"/>
              <w:spacing w:lineRule="auto" w:line="240" w:before="0" w:after="0"/>
              <w:rPr/>
            </w:pPr>
            <w:r>
              <w:rPr/>
            </w:r>
          </w:p>
        </w:tc>
        <w:tc>
          <w:tcPr>
            <w:tcW w:w="1193" w:type="dxa"/>
            <w:tcBorders/>
            <w:shd w:fill="auto" w:val="clear"/>
          </w:tcPr>
          <w:p>
            <w:pPr>
              <w:pStyle w:val="Normal"/>
              <w:spacing w:lineRule="auto" w:line="240" w:before="0" w:after="0"/>
              <w:rPr/>
            </w:pPr>
            <w:r>
              <w:rPr/>
            </w:r>
          </w:p>
        </w:tc>
        <w:tc>
          <w:tcPr>
            <w:tcW w:w="1134" w:type="dxa"/>
            <w:tcBorders/>
            <w:shd w:fill="auto" w:val="clear"/>
          </w:tcPr>
          <w:p>
            <w:pPr>
              <w:pStyle w:val="Normal"/>
              <w:spacing w:lineRule="auto" w:line="240" w:before="0" w:after="0"/>
              <w:rPr/>
            </w:pPr>
            <w:r>
              <w:rPr/>
            </w:r>
          </w:p>
        </w:tc>
        <w:tc>
          <w:tcPr>
            <w:tcW w:w="5102" w:type="dxa"/>
            <w:tcBorders/>
            <w:shd w:fill="auto" w:val="clear"/>
          </w:tcPr>
          <w:p>
            <w:pPr>
              <w:pStyle w:val="Normal"/>
              <w:spacing w:lineRule="auto" w:line="240" w:before="0" w:after="0"/>
              <w:rPr>
                <w:i/>
                <w:i/>
              </w:rPr>
            </w:pPr>
            <w:r>
              <w:rPr>
                <w:i/>
              </w:rPr>
              <w:t>Underlined  need to separate policies from projects.</w:t>
            </w:r>
          </w:p>
        </w:tc>
      </w:tr>
      <w:tr>
        <w:trPr/>
        <w:tc>
          <w:tcPr>
            <w:tcW w:w="1700" w:type="dxa"/>
            <w:tcBorders/>
            <w:shd w:color="auto" w:fill="E7E6E6" w:themeFill="background2" w:val="clear"/>
          </w:tcPr>
          <w:p>
            <w:pPr>
              <w:pStyle w:val="Normal"/>
              <w:spacing w:lineRule="auto" w:line="240" w:before="0" w:after="0"/>
              <w:rPr>
                <w:b/>
                <w:b/>
              </w:rPr>
            </w:pPr>
            <w:r>
              <w:rPr>
                <w:b/>
              </w:rPr>
              <w:t>September 2013</w:t>
            </w:r>
          </w:p>
        </w:tc>
        <w:tc>
          <w:tcPr>
            <w:tcW w:w="1277" w:type="dxa"/>
            <w:tcBorders/>
            <w:shd w:color="auto" w:fill="E7E6E6" w:themeFill="background2" w:val="clear"/>
          </w:tcPr>
          <w:p>
            <w:pPr>
              <w:pStyle w:val="Normal"/>
              <w:spacing w:lineRule="auto" w:line="240" w:before="0" w:after="0"/>
              <w:rPr>
                <w:rFonts w:cs="Calibri" w:cstheme="minorHAnsi"/>
                <w:b/>
                <w:b/>
              </w:rPr>
            </w:pPr>
            <w:r>
              <w:rPr>
                <w:rFonts w:cs="Calibri" w:cstheme="minorHAnsi"/>
                <w:b/>
              </w:rPr>
            </w:r>
          </w:p>
        </w:tc>
        <w:tc>
          <w:tcPr>
            <w:tcW w:w="2628" w:type="dxa"/>
            <w:tcBorders/>
            <w:shd w:color="auto" w:fill="E7E6E6" w:themeFill="background2" w:val="clear"/>
          </w:tcPr>
          <w:p>
            <w:pPr>
              <w:pStyle w:val="Normal"/>
              <w:spacing w:lineRule="auto" w:line="240" w:before="0" w:after="0"/>
              <w:rPr>
                <w:b/>
                <w:b/>
              </w:rPr>
            </w:pPr>
            <w:r>
              <w:rPr>
                <w:b/>
              </w:rPr>
              <w:t>NP article for Parish news-update on NP progress</w:t>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13.09.2013</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b/>
                <w:b/>
              </w:rPr>
            </w:pPr>
            <w:r>
              <w:rPr>
                <w:b/>
              </w:rPr>
              <w:t>24.10.2013</w:t>
            </w:r>
          </w:p>
        </w:tc>
        <w:tc>
          <w:tcPr>
            <w:tcW w:w="1277" w:type="dxa"/>
            <w:tcBorders/>
            <w:shd w:fill="auto" w:val="clear"/>
          </w:tcPr>
          <w:p>
            <w:pPr>
              <w:pStyle w:val="Normal"/>
              <w:spacing w:lineRule="auto" w:line="240" w:before="0" w:after="0"/>
              <w:rPr>
                <w:b/>
                <w:b/>
              </w:rPr>
            </w:pPr>
            <w:r>
              <w:rPr>
                <w:b/>
              </w:rPr>
            </w:r>
          </w:p>
        </w:tc>
        <w:tc>
          <w:tcPr>
            <w:tcW w:w="2628" w:type="dxa"/>
            <w:tcBorders/>
            <w:shd w:fill="auto" w:val="clear"/>
          </w:tcPr>
          <w:p>
            <w:pPr>
              <w:pStyle w:val="Normal"/>
              <w:spacing w:lineRule="auto" w:line="240" w:before="0" w:after="0"/>
              <w:rPr>
                <w:b/>
                <w:b/>
              </w:rPr>
            </w:pPr>
            <w:r>
              <w:rPr>
                <w:b/>
              </w:rPr>
              <w:t>Invite from NPC chair to villagers via parish magazine to join the NPC.</w:t>
            </w:r>
          </w:p>
        </w:tc>
        <w:tc>
          <w:tcPr>
            <w:tcW w:w="1424" w:type="dxa"/>
            <w:tcBorders/>
            <w:shd w:fill="auto" w:val="clear"/>
          </w:tcPr>
          <w:p>
            <w:pPr>
              <w:pStyle w:val="Normal"/>
              <w:spacing w:lineRule="auto" w:line="240" w:before="0" w:after="0"/>
              <w:rPr/>
            </w:pPr>
            <w:r>
              <w:rPr/>
            </w:r>
          </w:p>
        </w:tc>
        <w:tc>
          <w:tcPr>
            <w:tcW w:w="1193" w:type="dxa"/>
            <w:tcBorders/>
            <w:shd w:fill="auto" w:val="clear"/>
          </w:tcPr>
          <w:p>
            <w:pPr>
              <w:pStyle w:val="Normal"/>
              <w:spacing w:lineRule="auto" w:line="240" w:before="0" w:after="0"/>
              <w:rPr/>
            </w:pPr>
            <w:r>
              <w:rPr/>
            </w:r>
          </w:p>
        </w:tc>
        <w:tc>
          <w:tcPr>
            <w:tcW w:w="1134" w:type="dxa"/>
            <w:tcBorders/>
            <w:shd w:fill="auto" w:val="clear"/>
          </w:tcPr>
          <w:p>
            <w:pPr>
              <w:pStyle w:val="Normal"/>
              <w:spacing w:lineRule="auto" w:line="240" w:before="0" w:after="0"/>
              <w:rPr/>
            </w:pPr>
            <w:r>
              <w:rPr/>
            </w:r>
          </w:p>
        </w:tc>
        <w:tc>
          <w:tcPr>
            <w:tcW w:w="5102" w:type="dxa"/>
            <w:tcBorders/>
            <w:shd w:fill="auto" w:val="clear"/>
          </w:tcPr>
          <w:p>
            <w:pPr>
              <w:pStyle w:val="Normal"/>
              <w:spacing w:lineRule="auto" w:line="240" w:before="0" w:after="0"/>
              <w:rPr/>
            </w:pPr>
            <w:r>
              <w:rPr/>
            </w:r>
          </w:p>
        </w:tc>
      </w:tr>
      <w:tr>
        <w:trPr/>
        <w:tc>
          <w:tcPr>
            <w:tcW w:w="1700" w:type="dxa"/>
            <w:tcBorders/>
            <w:shd w:color="auto" w:fill="FFFFFF" w:themeFill="background1" w:val="clear"/>
          </w:tcPr>
          <w:p>
            <w:pPr>
              <w:pStyle w:val="Normal"/>
              <w:spacing w:lineRule="auto" w:line="240" w:before="0" w:after="0"/>
              <w:rPr/>
            </w:pPr>
            <w:r>
              <w:rPr/>
              <w:t>15.11.2013</w:t>
            </w:r>
          </w:p>
        </w:tc>
        <w:tc>
          <w:tcPr>
            <w:tcW w:w="1277" w:type="dxa"/>
            <w:tcBorders/>
            <w:shd w:color="auto" w:fill="FFFFFF" w:themeFill="background1" w:val="clear"/>
          </w:tcPr>
          <w:p>
            <w:pPr>
              <w:pStyle w:val="Normal"/>
              <w:spacing w:lineRule="auto" w:line="240" w:before="0" w:after="0"/>
              <w:rPr/>
            </w:pPr>
            <w:r>
              <w:rPr>
                <w:rFonts w:cs="Calibri" w:cstheme="minorHAnsi"/>
              </w:rPr>
              <w:t>√</w:t>
            </w:r>
          </w:p>
        </w:tc>
        <w:tc>
          <w:tcPr>
            <w:tcW w:w="2628" w:type="dxa"/>
            <w:tcBorders/>
            <w:shd w:color="auto" w:fill="FFFFFF" w:themeFill="background1" w:val="clear"/>
          </w:tcPr>
          <w:p>
            <w:pPr>
              <w:pStyle w:val="Normal"/>
              <w:spacing w:lineRule="auto" w:line="240" w:before="0" w:after="0"/>
              <w:rPr/>
            </w:pPr>
            <w:r>
              <w:rPr/>
            </w:r>
          </w:p>
        </w:tc>
        <w:tc>
          <w:tcPr>
            <w:tcW w:w="1424" w:type="dxa"/>
            <w:tcBorders/>
            <w:shd w:color="auto" w:fill="FFFFFF" w:themeFill="background1" w:val="clear"/>
          </w:tcPr>
          <w:p>
            <w:pPr>
              <w:pStyle w:val="Normal"/>
              <w:spacing w:lineRule="auto" w:line="240" w:before="0" w:after="0"/>
              <w:rPr/>
            </w:pPr>
            <w:r>
              <w:rPr/>
            </w:r>
          </w:p>
        </w:tc>
        <w:tc>
          <w:tcPr>
            <w:tcW w:w="1193" w:type="dxa"/>
            <w:tcBorders/>
            <w:shd w:color="auto" w:fill="FFFFFF" w:themeFill="background1" w:val="clear"/>
          </w:tcPr>
          <w:p>
            <w:pPr>
              <w:pStyle w:val="Normal"/>
              <w:spacing w:lineRule="auto" w:line="240" w:before="0" w:after="0"/>
              <w:rPr/>
            </w:pPr>
            <w:r>
              <w:rPr/>
            </w:r>
          </w:p>
        </w:tc>
        <w:tc>
          <w:tcPr>
            <w:tcW w:w="1134" w:type="dxa"/>
            <w:tcBorders/>
            <w:shd w:color="auto" w:fill="FFFFFF" w:themeFill="background1" w:val="clear"/>
          </w:tcPr>
          <w:p>
            <w:pPr>
              <w:pStyle w:val="Normal"/>
              <w:spacing w:lineRule="auto" w:line="240" w:before="0" w:after="0"/>
              <w:rPr/>
            </w:pPr>
            <w:r>
              <w:rPr/>
            </w:r>
          </w:p>
        </w:tc>
        <w:tc>
          <w:tcPr>
            <w:tcW w:w="5102" w:type="dxa"/>
            <w:tcBorders/>
            <w:shd w:color="auto" w:fill="FFFFFF" w:themeFill="background1" w:val="clear"/>
          </w:tcPr>
          <w:p>
            <w:pPr>
              <w:pStyle w:val="Normal"/>
              <w:spacing w:lineRule="auto" w:line="240" w:before="0" w:after="0"/>
              <w:rPr/>
            </w:pPr>
            <w:r>
              <w:rPr/>
              <w:t>Deletion of initial references in the emerging plan to the Oil Depot site.</w:t>
            </w:r>
          </w:p>
        </w:tc>
      </w:tr>
      <w:tr>
        <w:trPr/>
        <w:tc>
          <w:tcPr>
            <w:tcW w:w="1700" w:type="dxa"/>
            <w:tcBorders/>
            <w:shd w:color="auto" w:fill="E7E6E6" w:themeFill="background2" w:val="clear"/>
          </w:tcPr>
          <w:p>
            <w:pPr>
              <w:pStyle w:val="Normal"/>
              <w:spacing w:lineRule="auto" w:line="240" w:before="0" w:after="0"/>
              <w:rPr/>
            </w:pPr>
            <w:r>
              <w:rPr/>
              <w:t>13.12.2013</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pPr>
            <w:r>
              <w:rPr/>
              <w:t>10.01.2014</w:t>
            </w:r>
          </w:p>
        </w:tc>
        <w:tc>
          <w:tcPr>
            <w:tcW w:w="1277" w:type="dxa"/>
            <w:tcBorders/>
            <w:shd w:fill="auto" w:val="clear"/>
          </w:tcPr>
          <w:p>
            <w:pPr>
              <w:pStyle w:val="Normal"/>
              <w:spacing w:lineRule="auto" w:line="240" w:before="0" w:after="0"/>
              <w:rPr>
                <w:rFonts w:cs="Calibri" w:cstheme="minorHAnsi"/>
              </w:rPr>
            </w:pPr>
            <w:r>
              <w:rPr>
                <w:rFonts w:cs="Calibri" w:cstheme="minorHAnsi"/>
              </w:rPr>
              <w:t xml:space="preserve">√ </w:t>
            </w:r>
            <w:r>
              <w:rPr>
                <w:rFonts w:cs="Calibri" w:cstheme="minorHAnsi"/>
              </w:rPr>
              <w:t>Stella Scrivener from Planning Aid</w:t>
            </w:r>
          </w:p>
        </w:tc>
        <w:tc>
          <w:tcPr>
            <w:tcW w:w="2628" w:type="dxa"/>
            <w:tcBorders/>
            <w:shd w:fill="auto" w:val="clear"/>
          </w:tcPr>
          <w:p>
            <w:pPr>
              <w:pStyle w:val="Normal"/>
              <w:spacing w:lineRule="auto" w:line="240" w:before="0" w:after="0"/>
              <w:rPr/>
            </w:pPr>
            <w:r>
              <w:rPr/>
            </w:r>
          </w:p>
        </w:tc>
        <w:tc>
          <w:tcPr>
            <w:tcW w:w="1424" w:type="dxa"/>
            <w:tcBorders/>
            <w:shd w:fill="auto" w:val="clear"/>
          </w:tcPr>
          <w:p>
            <w:pPr>
              <w:pStyle w:val="Normal"/>
              <w:spacing w:lineRule="auto" w:line="240" w:before="0" w:after="0"/>
              <w:rPr/>
            </w:pPr>
            <w:r>
              <w:rPr/>
            </w:r>
          </w:p>
        </w:tc>
        <w:tc>
          <w:tcPr>
            <w:tcW w:w="1193" w:type="dxa"/>
            <w:tcBorders/>
            <w:shd w:fill="auto" w:val="clear"/>
          </w:tcPr>
          <w:p>
            <w:pPr>
              <w:pStyle w:val="Normal"/>
              <w:spacing w:lineRule="auto" w:line="240" w:before="0" w:after="0"/>
              <w:rPr/>
            </w:pPr>
            <w:r>
              <w:rPr/>
            </w:r>
          </w:p>
        </w:tc>
        <w:tc>
          <w:tcPr>
            <w:tcW w:w="1134" w:type="dxa"/>
            <w:tcBorders/>
            <w:shd w:fill="auto" w:val="clear"/>
          </w:tcPr>
          <w:p>
            <w:pPr>
              <w:pStyle w:val="Normal"/>
              <w:spacing w:lineRule="auto" w:line="240" w:before="0" w:after="0"/>
              <w:rPr/>
            </w:pPr>
            <w:r>
              <w:rPr/>
            </w:r>
          </w:p>
        </w:tc>
        <w:tc>
          <w:tcPr>
            <w:tcW w:w="5102" w:type="dxa"/>
            <w:tcBorders/>
            <w:shd w:fill="auto" w:val="clear"/>
          </w:tcPr>
          <w:p>
            <w:pPr>
              <w:pStyle w:val="Normal"/>
              <w:spacing w:lineRule="auto" w:line="240" w:before="0" w:after="0"/>
              <w:rPr>
                <w:i/>
                <w:i/>
              </w:rPr>
            </w:pPr>
            <w:r>
              <w:rPr>
                <w:i/>
              </w:rPr>
              <w:t>Underlined need to separate policies from projects.</w:t>
            </w:r>
          </w:p>
          <w:p>
            <w:pPr>
              <w:pStyle w:val="Normal"/>
              <w:spacing w:lineRule="auto" w:line="240" w:before="0" w:after="0"/>
              <w:rPr/>
            </w:pPr>
            <w:r>
              <w:rPr>
                <w:i/>
              </w:rPr>
              <w:t>Guidance on composition of a typical NP and common pitfalls to avoid.</w:t>
            </w:r>
          </w:p>
        </w:tc>
      </w:tr>
      <w:tr>
        <w:trPr/>
        <w:tc>
          <w:tcPr>
            <w:tcW w:w="1700" w:type="dxa"/>
            <w:tcBorders/>
            <w:shd w:color="auto" w:fill="E7E6E6" w:themeFill="background2" w:val="clear"/>
          </w:tcPr>
          <w:p>
            <w:pPr>
              <w:pStyle w:val="Normal"/>
              <w:spacing w:lineRule="auto" w:line="240" w:before="0" w:after="0"/>
              <w:rPr/>
            </w:pPr>
            <w:r>
              <w:rPr/>
              <w:t>14.02.2014</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14.03.2014</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11.04.2014</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rHeight w:val="852" w:hRule="atLeast"/>
        </w:trPr>
        <w:tc>
          <w:tcPr>
            <w:tcW w:w="1700" w:type="dxa"/>
            <w:tcBorders/>
            <w:shd w:color="auto" w:fill="E7E6E6" w:themeFill="background2" w:val="clear"/>
          </w:tcPr>
          <w:p>
            <w:pPr>
              <w:pStyle w:val="Normal"/>
              <w:spacing w:lineRule="auto" w:line="240" w:before="0" w:after="0"/>
              <w:rPr/>
            </w:pPr>
            <w:r>
              <w:rPr/>
              <w:t>08.05.2014</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 xml:space="preserve">√  </w:t>
            </w:r>
            <w:r>
              <w:rPr>
                <w:rFonts w:cs="Calibri" w:cstheme="minorHAnsi"/>
              </w:rPr>
              <w:t>Adrian Verrall (CCC)</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pPr>
            <w:r>
              <w:rPr/>
              <w:t>May 2014</w:t>
            </w:r>
          </w:p>
        </w:tc>
        <w:tc>
          <w:tcPr>
            <w:tcW w:w="1277" w:type="dxa"/>
            <w:tcBorders/>
            <w:shd w:fill="auto" w:val="clear"/>
          </w:tcPr>
          <w:p>
            <w:pPr>
              <w:pStyle w:val="Normal"/>
              <w:spacing w:lineRule="auto" w:line="240" w:before="0" w:after="0"/>
              <w:rPr/>
            </w:pPr>
            <w:r>
              <w:rPr/>
              <w:t>Parking Survey</w:t>
            </w:r>
          </w:p>
        </w:tc>
        <w:tc>
          <w:tcPr>
            <w:tcW w:w="2628" w:type="dxa"/>
            <w:tcBorders/>
            <w:shd w:fill="auto" w:val="clear"/>
          </w:tcPr>
          <w:p>
            <w:pPr>
              <w:pStyle w:val="Normal"/>
              <w:spacing w:lineRule="auto" w:line="240" w:before="0" w:after="0"/>
              <w:rPr/>
            </w:pPr>
            <w:r>
              <w:rPr/>
              <w:t>Paper</w:t>
            </w:r>
          </w:p>
        </w:tc>
        <w:tc>
          <w:tcPr>
            <w:tcW w:w="1424" w:type="dxa"/>
            <w:tcBorders/>
            <w:shd w:fill="auto" w:val="clear"/>
          </w:tcPr>
          <w:p>
            <w:pPr>
              <w:pStyle w:val="Normal"/>
              <w:spacing w:lineRule="auto" w:line="240" w:before="0" w:after="0"/>
              <w:rPr/>
            </w:pPr>
            <w:r>
              <w:rPr/>
              <w:t>√</w:t>
            </w:r>
          </w:p>
        </w:tc>
        <w:tc>
          <w:tcPr>
            <w:tcW w:w="1193" w:type="dxa"/>
            <w:tcBorders/>
            <w:shd w:fill="auto" w:val="clear"/>
          </w:tcPr>
          <w:p>
            <w:pPr>
              <w:pStyle w:val="Normal"/>
              <w:spacing w:lineRule="auto" w:line="240" w:before="0" w:after="0"/>
              <w:rPr/>
            </w:pPr>
            <w:r>
              <w:rPr/>
              <w:t>110 residents + 21 non residents</w:t>
            </w:r>
          </w:p>
          <w:p>
            <w:pPr>
              <w:pStyle w:val="Normal"/>
              <w:spacing w:lineRule="auto" w:line="240" w:before="0" w:after="0"/>
              <w:rPr/>
            </w:pPr>
            <w:r>
              <w:rPr/>
              <w:t>responded</w:t>
            </w:r>
          </w:p>
        </w:tc>
        <w:tc>
          <w:tcPr>
            <w:tcW w:w="1134" w:type="dxa"/>
            <w:tcBorders/>
            <w:shd w:fill="auto" w:val="clear"/>
          </w:tcPr>
          <w:p>
            <w:pPr>
              <w:pStyle w:val="Normal"/>
              <w:spacing w:lineRule="auto" w:line="240" w:before="0" w:after="0"/>
              <w:rPr/>
            </w:pPr>
            <w:r>
              <w:rPr/>
            </w:r>
          </w:p>
        </w:tc>
        <w:tc>
          <w:tcPr>
            <w:tcW w:w="5102" w:type="dxa"/>
            <w:tcBorders/>
            <w:shd w:fill="auto" w:val="clear"/>
          </w:tcPr>
          <w:p>
            <w:pPr>
              <w:pStyle w:val="Normal"/>
              <w:spacing w:lineRule="auto" w:line="240" w:before="0" w:after="0"/>
              <w:rPr/>
            </w:pPr>
            <w:r>
              <w:rPr/>
              <w:t>Led to policies B4 and B5 in the October 2014 draft,  now project B5 in the final regulation 16</w:t>
            </w:r>
            <w:r>
              <w:rPr>
                <w:i/>
              </w:rPr>
              <w:t xml:space="preserve"> </w:t>
            </w:r>
            <w:r>
              <w:rPr/>
              <w:t xml:space="preserve">2018 consultation document.  Parking is also addressed in Appendix F of the 2018 regulation 16 consultation document. </w:t>
            </w:r>
          </w:p>
        </w:tc>
      </w:tr>
      <w:tr>
        <w:trPr/>
        <w:tc>
          <w:tcPr>
            <w:tcW w:w="1700" w:type="dxa"/>
            <w:tcBorders/>
            <w:shd w:color="auto" w:fill="E7E6E6" w:themeFill="background2" w:val="clear"/>
          </w:tcPr>
          <w:p>
            <w:pPr>
              <w:pStyle w:val="Normal"/>
              <w:spacing w:lineRule="auto" w:line="240" w:before="0" w:after="0"/>
              <w:rPr/>
            </w:pPr>
            <w:r>
              <w:rPr/>
              <w:t>13.06.2014</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11.07.2014</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29.08.2014</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19.09.2014</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03.10.2014</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October 2014</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2628" w:type="dxa"/>
            <w:tcBorders/>
            <w:shd w:color="auto" w:fill="E7E6E6" w:themeFill="background2" w:val="clear"/>
          </w:tcPr>
          <w:p>
            <w:pPr>
              <w:pStyle w:val="Normal"/>
              <w:spacing w:lineRule="auto" w:line="240" w:before="0" w:after="0"/>
              <w:rPr>
                <w:b/>
                <w:b/>
              </w:rPr>
            </w:pPr>
            <w:r>
              <w:rPr>
                <w:b/>
              </w:rPr>
              <w:t>First Consultation Draft issued by 21 volunteers with covering letter to all households</w:t>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pPr>
            <w:bookmarkStart w:id="0" w:name="_GoBack"/>
            <w:bookmarkEnd w:id="0"/>
            <w:r>
              <w:rPr/>
              <w:t>20.10.2014</w:t>
            </w:r>
          </w:p>
        </w:tc>
        <w:tc>
          <w:tcPr>
            <w:tcW w:w="1277" w:type="dxa"/>
            <w:tcBorders/>
            <w:shd w:fill="auto" w:val="clear"/>
          </w:tcPr>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b/>
                <w:b/>
              </w:rPr>
            </w:pPr>
            <w:r>
              <w:rPr>
                <w:b/>
              </w:rPr>
              <w:t>Comments  from Stella Scrivener  (Planning Aid) on October 2014 draft</w:t>
            </w:r>
          </w:p>
        </w:tc>
        <w:tc>
          <w:tcPr>
            <w:tcW w:w="1424" w:type="dxa"/>
            <w:tcBorders/>
            <w:shd w:fill="auto" w:val="clear"/>
          </w:tcPr>
          <w:p>
            <w:pPr>
              <w:pStyle w:val="Normal"/>
              <w:spacing w:lineRule="auto" w:line="240" w:before="0" w:after="0"/>
              <w:rPr/>
            </w:pPr>
            <w:r>
              <w:rPr/>
            </w:r>
          </w:p>
        </w:tc>
        <w:tc>
          <w:tcPr>
            <w:tcW w:w="1193" w:type="dxa"/>
            <w:tcBorders/>
            <w:shd w:fill="auto" w:val="clear"/>
          </w:tcPr>
          <w:p>
            <w:pPr>
              <w:pStyle w:val="Normal"/>
              <w:spacing w:lineRule="auto" w:line="240" w:before="0" w:after="0"/>
              <w:rPr/>
            </w:pPr>
            <w:r>
              <w:rPr/>
            </w:r>
          </w:p>
        </w:tc>
        <w:tc>
          <w:tcPr>
            <w:tcW w:w="1134" w:type="dxa"/>
            <w:tcBorders/>
            <w:shd w:fill="auto" w:val="clear"/>
          </w:tcPr>
          <w:p>
            <w:pPr>
              <w:pStyle w:val="Normal"/>
              <w:spacing w:lineRule="auto" w:line="240" w:before="0" w:after="0"/>
              <w:rPr/>
            </w:pPr>
            <w:r>
              <w:rPr/>
            </w:r>
          </w:p>
        </w:tc>
        <w:tc>
          <w:tcPr>
            <w:tcW w:w="5102" w:type="dxa"/>
            <w:tcBorders/>
            <w:shd w:fill="auto" w:val="clear"/>
          </w:tcPr>
          <w:p>
            <w:pPr>
              <w:pStyle w:val="Normal"/>
              <w:spacing w:lineRule="auto" w:line="240" w:before="0" w:after="0"/>
              <w:rPr>
                <w:i/>
                <w:i/>
              </w:rPr>
            </w:pPr>
            <w:r>
              <w:rPr>
                <w:i/>
              </w:rPr>
              <w:t>These comments were reviewed at NPC meetings in Jan and Feb 2015</w:t>
            </w:r>
          </w:p>
        </w:tc>
      </w:tr>
      <w:tr>
        <w:trPr/>
        <w:tc>
          <w:tcPr>
            <w:tcW w:w="1700" w:type="dxa"/>
            <w:tcBorders/>
            <w:shd w:fill="auto" w:val="clear"/>
          </w:tcPr>
          <w:p>
            <w:pPr>
              <w:pStyle w:val="Normal"/>
              <w:spacing w:lineRule="auto" w:line="240" w:before="0" w:after="0"/>
              <w:rPr/>
            </w:pPr>
            <w:r>
              <w:rPr/>
              <w:t>1 November 2014</w:t>
            </w:r>
          </w:p>
        </w:tc>
        <w:tc>
          <w:tcPr>
            <w:tcW w:w="1277" w:type="dxa"/>
            <w:tcBorders/>
            <w:shd w:fill="auto" w:val="clear"/>
          </w:tcPr>
          <w:p>
            <w:pPr>
              <w:pStyle w:val="Normal"/>
              <w:spacing w:lineRule="auto" w:line="240" w:before="0" w:after="0"/>
              <w:rPr/>
            </w:pPr>
            <w:r>
              <w:rPr/>
            </w:r>
          </w:p>
        </w:tc>
        <w:tc>
          <w:tcPr>
            <w:tcW w:w="2628" w:type="dxa"/>
            <w:tcBorders/>
            <w:shd w:fill="auto" w:val="clear"/>
          </w:tcPr>
          <w:p>
            <w:pPr>
              <w:pStyle w:val="Normal"/>
              <w:spacing w:lineRule="auto" w:line="240" w:before="0" w:after="0"/>
              <w:rPr>
                <w:b/>
                <w:b/>
              </w:rPr>
            </w:pPr>
            <w:r>
              <w:rPr>
                <w:b/>
              </w:rPr>
              <w:t>Consultation event –BVH-10-1 p.m.</w:t>
            </w:r>
          </w:p>
        </w:tc>
        <w:tc>
          <w:tcPr>
            <w:tcW w:w="1424" w:type="dxa"/>
            <w:tcBorders/>
            <w:shd w:fill="auto" w:val="clear"/>
          </w:tcPr>
          <w:p>
            <w:pPr>
              <w:pStyle w:val="Normal"/>
              <w:spacing w:lineRule="auto" w:line="240" w:before="0" w:after="0"/>
              <w:rPr/>
            </w:pPr>
            <w:r>
              <w:rPr/>
            </w:r>
          </w:p>
        </w:tc>
        <w:tc>
          <w:tcPr>
            <w:tcW w:w="1193" w:type="dxa"/>
            <w:tcBorders/>
            <w:shd w:fill="auto" w:val="clear"/>
          </w:tcPr>
          <w:p>
            <w:pPr>
              <w:pStyle w:val="Normal"/>
              <w:spacing w:lineRule="auto" w:line="240" w:before="0" w:after="0"/>
              <w:rPr/>
            </w:pPr>
            <w:r>
              <w:rPr/>
            </w:r>
          </w:p>
        </w:tc>
        <w:tc>
          <w:tcPr>
            <w:tcW w:w="1134" w:type="dxa"/>
            <w:tcBorders/>
            <w:shd w:fill="auto" w:val="clear"/>
          </w:tcPr>
          <w:p>
            <w:pPr>
              <w:pStyle w:val="Normal"/>
              <w:spacing w:lineRule="auto" w:line="240" w:before="0" w:after="0"/>
              <w:rPr/>
            </w:pPr>
            <w:r>
              <w:rPr/>
            </w:r>
          </w:p>
        </w:tc>
        <w:tc>
          <w:tcPr>
            <w:tcW w:w="5102" w:type="dxa"/>
            <w:tcBorders/>
            <w:shd w:fill="auto" w:val="clear"/>
          </w:tcPr>
          <w:p>
            <w:pPr>
              <w:pStyle w:val="Normal"/>
              <w:spacing w:before="0" w:after="0"/>
              <w:rPr/>
            </w:pPr>
            <w:r>
              <w:rPr/>
              <w:t xml:space="preserve">21 November 2014 minutes of the NPC record a need –expressed in the consultation-to </w:t>
            </w:r>
          </w:p>
          <w:p>
            <w:pPr>
              <w:pStyle w:val="ListParagraph"/>
              <w:numPr>
                <w:ilvl w:val="0"/>
                <w:numId w:val="1"/>
              </w:numPr>
              <w:spacing w:before="0" w:after="0"/>
              <w:rPr>
                <w:rFonts w:ascii="Calibri" w:hAnsi="Calibri" w:cs="Calibri"/>
                <w:sz w:val="22"/>
                <w:szCs w:val="22"/>
              </w:rPr>
            </w:pPr>
            <w:r>
              <w:rPr>
                <w:rFonts w:cs="Calibri" w:ascii="Calibri" w:hAnsi="Calibri"/>
                <w:sz w:val="22"/>
                <w:szCs w:val="22"/>
              </w:rPr>
              <w:t xml:space="preserve">add a page showing membership of the committee.  </w:t>
            </w:r>
          </w:p>
          <w:p>
            <w:pPr>
              <w:pStyle w:val="ListParagraph"/>
              <w:numPr>
                <w:ilvl w:val="0"/>
                <w:numId w:val="1"/>
              </w:numPr>
              <w:spacing w:before="0" w:after="0"/>
              <w:rPr>
                <w:rFonts w:ascii="Calibri" w:hAnsi="Calibri" w:cs="Calibri"/>
                <w:sz w:val="22"/>
                <w:szCs w:val="22"/>
              </w:rPr>
            </w:pPr>
            <w:r>
              <w:rPr>
                <w:rFonts w:cs="Calibri" w:ascii="Calibri" w:hAnsi="Calibri"/>
                <w:sz w:val="22"/>
                <w:szCs w:val="22"/>
              </w:rPr>
              <w:t xml:space="preserve">publish minutes on website </w:t>
            </w:r>
          </w:p>
          <w:p>
            <w:pPr>
              <w:pStyle w:val="ListParagraph"/>
              <w:numPr>
                <w:ilvl w:val="0"/>
                <w:numId w:val="1"/>
              </w:numPr>
              <w:spacing w:before="0" w:after="0"/>
              <w:rPr/>
            </w:pPr>
            <w:r>
              <w:rPr>
                <w:rFonts w:cs="Calibri" w:ascii="Calibri" w:hAnsi="Calibri"/>
                <w:sz w:val="22"/>
                <w:szCs w:val="22"/>
              </w:rPr>
              <w:t xml:space="preserve"> </w:t>
            </w:r>
            <w:r>
              <w:rPr>
                <w:rFonts w:cs="Calibri" w:ascii="Calibri" w:hAnsi="Calibri"/>
                <w:sz w:val="22"/>
                <w:szCs w:val="22"/>
              </w:rPr>
              <w:t>to explain abbreviations used</w:t>
            </w:r>
          </w:p>
        </w:tc>
      </w:tr>
      <w:tr>
        <w:trPr/>
        <w:tc>
          <w:tcPr>
            <w:tcW w:w="1700" w:type="dxa"/>
            <w:tcBorders/>
            <w:shd w:color="auto" w:fill="E7E6E6" w:themeFill="background2" w:val="clear"/>
          </w:tcPr>
          <w:p>
            <w:pPr>
              <w:pStyle w:val="Normal"/>
              <w:spacing w:lineRule="auto" w:line="240" w:before="0" w:after="0"/>
              <w:rPr/>
            </w:pPr>
            <w:r>
              <w:rPr/>
              <w:t>21.11.2014</w:t>
            </w:r>
          </w:p>
        </w:tc>
        <w:tc>
          <w:tcPr>
            <w:tcW w:w="1277" w:type="dxa"/>
            <w:tcBorders/>
            <w:shd w:color="auto" w:fill="E7E6E6" w:themeFill="background2" w:val="clear"/>
          </w:tcPr>
          <w:p>
            <w:pPr>
              <w:pStyle w:val="Normal"/>
              <w:spacing w:lineRule="auto" w:line="240" w:before="0" w:after="0"/>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December 2014</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2628" w:type="dxa"/>
            <w:tcBorders/>
            <w:shd w:color="auto" w:fill="E7E6E6" w:themeFill="background2" w:val="clear"/>
          </w:tcPr>
          <w:p>
            <w:pPr>
              <w:pStyle w:val="Normal"/>
              <w:spacing w:lineRule="auto" w:line="240" w:before="0" w:after="0"/>
              <w:rPr/>
            </w:pPr>
            <w:r>
              <w:rPr/>
              <w:t>Village poster encouraging responses to the ongoing consultation</w:t>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15.12.2014</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2628" w:type="dxa"/>
            <w:tcBorders/>
            <w:shd w:color="auto" w:fill="E7E6E6" w:themeFill="background2" w:val="clear"/>
          </w:tcPr>
          <w:p>
            <w:pPr>
              <w:pStyle w:val="Normal"/>
              <w:spacing w:lineRule="auto" w:line="240" w:before="0" w:after="0"/>
              <w:rPr/>
            </w:pPr>
            <w:r>
              <w:rPr/>
              <w:t>Deadline for receipt of comments on first consultation draft</w:t>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pPr>
            <w:r>
              <w:rPr/>
              <w:t>23.01.2015</w:t>
            </w:r>
          </w:p>
        </w:tc>
        <w:tc>
          <w:tcPr>
            <w:tcW w:w="1277" w:type="dxa"/>
            <w:tcBorders/>
            <w:shd w:fill="auto" w:val="clear"/>
          </w:tcPr>
          <w:p>
            <w:pPr>
              <w:pStyle w:val="Normal"/>
              <w:spacing w:lineRule="auto" w:line="240" w:before="0" w:after="0"/>
              <w:rPr/>
            </w:pPr>
            <w:r>
              <w:rPr>
                <w:rFonts w:cs="Calibri" w:cstheme="minorHAnsi"/>
              </w:rPr>
              <w:t>√</w:t>
            </w:r>
          </w:p>
        </w:tc>
        <w:tc>
          <w:tcPr>
            <w:tcW w:w="2628" w:type="dxa"/>
            <w:tcBorders/>
            <w:shd w:fill="auto" w:val="clear"/>
          </w:tcPr>
          <w:p>
            <w:pPr>
              <w:pStyle w:val="Normal"/>
              <w:spacing w:lineRule="auto" w:line="240" w:before="0" w:after="0"/>
              <w:rPr/>
            </w:pPr>
            <w:r>
              <w:rPr/>
            </w:r>
          </w:p>
        </w:tc>
        <w:tc>
          <w:tcPr>
            <w:tcW w:w="1424" w:type="dxa"/>
            <w:tcBorders/>
            <w:shd w:fill="auto" w:val="clear"/>
          </w:tcPr>
          <w:p>
            <w:pPr>
              <w:pStyle w:val="Normal"/>
              <w:spacing w:lineRule="auto" w:line="240" w:before="0" w:after="0"/>
              <w:rPr/>
            </w:pPr>
            <w:r>
              <w:rPr/>
            </w:r>
          </w:p>
        </w:tc>
        <w:tc>
          <w:tcPr>
            <w:tcW w:w="1193" w:type="dxa"/>
            <w:tcBorders/>
            <w:shd w:fill="auto" w:val="clear"/>
          </w:tcPr>
          <w:p>
            <w:pPr>
              <w:pStyle w:val="Normal"/>
              <w:spacing w:lineRule="auto" w:line="240" w:before="0" w:after="0"/>
              <w:rPr/>
            </w:pPr>
            <w:r>
              <w:rPr/>
              <w:t>131 responses based on the October</w:t>
            </w:r>
          </w:p>
          <w:p>
            <w:pPr>
              <w:pStyle w:val="Normal"/>
              <w:spacing w:lineRule="auto" w:line="240" w:before="0" w:after="0"/>
              <w:rPr/>
            </w:pPr>
            <w:r>
              <w:rPr/>
              <w:t xml:space="preserve">2014 draft </w:t>
            </w:r>
          </w:p>
        </w:tc>
        <w:tc>
          <w:tcPr>
            <w:tcW w:w="1134" w:type="dxa"/>
            <w:tcBorders/>
            <w:shd w:fill="auto" w:val="clear"/>
          </w:tcPr>
          <w:p>
            <w:pPr>
              <w:pStyle w:val="Normal"/>
              <w:spacing w:lineRule="auto" w:line="240" w:before="0" w:after="0"/>
              <w:rPr/>
            </w:pPr>
            <w:r>
              <w:rPr/>
            </w:r>
          </w:p>
        </w:tc>
        <w:tc>
          <w:tcPr>
            <w:tcW w:w="5102" w:type="dxa"/>
            <w:tcBorders/>
            <w:shd w:fill="auto" w:val="clear"/>
          </w:tcPr>
          <w:p>
            <w:pPr>
              <w:pStyle w:val="Normal"/>
              <w:spacing w:before="0" w:after="0"/>
              <w:rPr/>
            </w:pPr>
            <w:r>
              <w:rPr/>
              <w:t xml:space="preserve">All sections of the plan to be reviewed in light of the comments received and analysed by Mr Esdale.  </w:t>
            </w:r>
          </w:p>
          <w:p>
            <w:pPr>
              <w:pStyle w:val="Normal"/>
              <w:spacing w:before="0" w:after="0"/>
              <w:rPr/>
            </w:pPr>
            <w:r>
              <w:rPr/>
            </w:r>
          </w:p>
          <w:p>
            <w:pPr>
              <w:pStyle w:val="ListParagraph"/>
              <w:numPr>
                <w:ilvl w:val="0"/>
                <w:numId w:val="2"/>
              </w:numPr>
              <w:spacing w:before="0" w:after="0"/>
              <w:rPr>
                <w:rFonts w:ascii="Calibri" w:hAnsi="Calibri" w:cs="Calibri" w:asciiTheme="minorHAnsi" w:cstheme="minorHAnsi" w:hAnsiTheme="minorHAnsi"/>
                <w:sz w:val="22"/>
                <w:szCs w:val="22"/>
              </w:rPr>
            </w:pPr>
            <w:r>
              <w:rPr>
                <w:rFonts w:cs="Calibri" w:ascii="Calibri" w:hAnsi="Calibri" w:asciiTheme="minorHAnsi" w:cstheme="minorHAnsi" w:hAnsiTheme="minorHAnsi"/>
                <w:sz w:val="22"/>
                <w:szCs w:val="22"/>
              </w:rPr>
              <w:t>Section on housing is deemed by many to be contradictory and to be rewritten collectively.</w:t>
            </w:r>
          </w:p>
          <w:p>
            <w:pPr>
              <w:pStyle w:val="ListParagraph"/>
              <w:numPr>
                <w:ilvl w:val="0"/>
                <w:numId w:val="2"/>
              </w:numPr>
              <w:spacing w:before="0" w:after="0"/>
              <w:rPr/>
            </w:pPr>
            <w:r>
              <w:rPr>
                <w:rFonts w:cs="Calibri" w:ascii="Calibri" w:hAnsi="Calibri" w:asciiTheme="minorHAnsi" w:cstheme="minorHAnsi" w:hAnsiTheme="minorHAnsi"/>
                <w:sz w:val="22"/>
                <w:szCs w:val="22"/>
              </w:rPr>
              <w:t>All other sections of the plan given to an NPC member to review.</w:t>
            </w:r>
          </w:p>
        </w:tc>
      </w:tr>
      <w:tr>
        <w:trPr/>
        <w:tc>
          <w:tcPr>
            <w:tcW w:w="1700" w:type="dxa"/>
            <w:tcBorders/>
            <w:shd w:color="auto" w:fill="E7E6E6" w:themeFill="background2" w:val="clear"/>
          </w:tcPr>
          <w:p>
            <w:pPr>
              <w:pStyle w:val="Normal"/>
              <w:spacing w:lineRule="auto" w:line="240" w:before="0" w:after="0"/>
              <w:rPr/>
            </w:pPr>
            <w:r>
              <w:rPr/>
              <w:t>27.02.2015</w:t>
            </w:r>
          </w:p>
        </w:tc>
        <w:tc>
          <w:tcPr>
            <w:tcW w:w="1277" w:type="dxa"/>
            <w:tcBorders/>
            <w:shd w:color="auto" w:fill="E7E6E6" w:themeFill="background2" w:val="clear"/>
          </w:tcPr>
          <w:p>
            <w:pPr>
              <w:pStyle w:val="Normal"/>
              <w:spacing w:lineRule="auto" w:line="240" w:before="0" w:after="0"/>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10.04.2015</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02.09.2015</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b/>
                <w:b/>
              </w:rPr>
            </w:pPr>
            <w:r>
              <w:rPr>
                <w:b/>
              </w:rPr>
              <w:t>13 and 20 October 2015</w:t>
            </w:r>
          </w:p>
        </w:tc>
        <w:tc>
          <w:tcPr>
            <w:tcW w:w="1277" w:type="dxa"/>
            <w:tcBorders/>
            <w:shd w:fill="auto" w:val="clear"/>
          </w:tcPr>
          <w:p>
            <w:pPr>
              <w:pStyle w:val="Normal"/>
              <w:spacing w:lineRule="auto" w:line="240" w:before="0" w:after="0"/>
              <w:rPr>
                <w:rFonts w:cs="Calibri" w:cstheme="minorHAnsi"/>
                <w:b/>
                <w:b/>
              </w:rPr>
            </w:pPr>
            <w:r>
              <w:rPr>
                <w:rFonts w:cs="Calibri" w:cstheme="minorHAnsi"/>
                <w:b/>
              </w:rPr>
            </w:r>
          </w:p>
        </w:tc>
        <w:tc>
          <w:tcPr>
            <w:tcW w:w="2628" w:type="dxa"/>
            <w:tcBorders/>
            <w:shd w:fill="auto" w:val="clear"/>
          </w:tcPr>
          <w:p>
            <w:pPr>
              <w:pStyle w:val="Normal"/>
              <w:spacing w:lineRule="auto" w:line="240" w:before="0" w:after="0"/>
              <w:rPr>
                <w:b/>
                <w:b/>
              </w:rPr>
            </w:pPr>
            <w:r>
              <w:rPr>
                <w:b/>
              </w:rPr>
              <w:t>Information events on housing proposals held  in  Parish Church-with questions recorded and answered as given recorded by the Clerk</w:t>
            </w:r>
          </w:p>
        </w:tc>
        <w:tc>
          <w:tcPr>
            <w:tcW w:w="1424" w:type="dxa"/>
            <w:tcBorders/>
            <w:shd w:fill="auto" w:val="clear"/>
          </w:tcPr>
          <w:p>
            <w:pPr>
              <w:pStyle w:val="Normal"/>
              <w:spacing w:lineRule="auto" w:line="240" w:before="0" w:after="0"/>
              <w:rPr/>
            </w:pPr>
            <w:r>
              <w:rPr/>
            </w:r>
          </w:p>
        </w:tc>
        <w:tc>
          <w:tcPr>
            <w:tcW w:w="1193" w:type="dxa"/>
            <w:tcBorders/>
            <w:shd w:fill="auto" w:val="clear"/>
          </w:tcPr>
          <w:p>
            <w:pPr>
              <w:pStyle w:val="Normal"/>
              <w:spacing w:lineRule="auto" w:line="240" w:before="0" w:after="0"/>
              <w:rPr/>
            </w:pPr>
            <w:r>
              <w:rPr/>
            </w:r>
          </w:p>
        </w:tc>
        <w:tc>
          <w:tcPr>
            <w:tcW w:w="1134" w:type="dxa"/>
            <w:tcBorders/>
            <w:shd w:fill="auto" w:val="clear"/>
          </w:tcPr>
          <w:p>
            <w:pPr>
              <w:pStyle w:val="Normal"/>
              <w:spacing w:lineRule="auto" w:line="240" w:before="0" w:after="0"/>
              <w:rPr/>
            </w:pPr>
            <w:r>
              <w:rPr/>
            </w:r>
          </w:p>
        </w:tc>
        <w:tc>
          <w:tcPr>
            <w:tcW w:w="5102" w:type="dxa"/>
            <w:tcBorders/>
            <w:shd w:fill="auto" w:val="clear"/>
          </w:tcPr>
          <w:p>
            <w:pPr>
              <w:pStyle w:val="Normal"/>
              <w:spacing w:lineRule="auto" w:line="240" w:before="0" w:after="0"/>
              <w:rPr/>
            </w:pPr>
            <w:r>
              <w:rPr/>
              <w:t xml:space="preserve">Access to proposed housing site in Appendix F of the 2018 final regulation 16 version is presaged by a comment made by a villager at the event on 13 October.   </w:t>
            </w:r>
          </w:p>
          <w:p>
            <w:pPr>
              <w:pStyle w:val="Normal"/>
              <w:spacing w:lineRule="auto" w:line="240" w:before="0" w:after="0"/>
              <w:rPr/>
            </w:pPr>
            <w:r>
              <w:rPr/>
            </w:r>
          </w:p>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12.11.2015</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November 2015</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2628" w:type="dxa"/>
            <w:tcBorders/>
            <w:shd w:color="auto" w:fill="E7E6E6" w:themeFill="background2" w:val="clear"/>
          </w:tcPr>
          <w:p>
            <w:pPr>
              <w:pStyle w:val="Normal"/>
              <w:spacing w:lineRule="auto" w:line="240" w:before="0" w:after="0"/>
              <w:rPr/>
            </w:pPr>
            <w:r>
              <w:rPr/>
              <w:t>Version 1.5 of the plan completed</w:t>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12.02.2016</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23.02.2016</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20 and 22 March/April 2016</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2628" w:type="dxa"/>
            <w:tcBorders/>
            <w:shd w:color="auto" w:fill="E7E6E6" w:themeFill="background2" w:val="clear"/>
          </w:tcPr>
          <w:p>
            <w:pPr>
              <w:pStyle w:val="Normal"/>
              <w:spacing w:lineRule="auto" w:line="240" w:before="0" w:after="0"/>
              <w:rPr/>
            </w:pPr>
            <w:r>
              <w:rPr/>
              <w:t>2 Village hall consultations about site preferences for housing</w:t>
            </w:r>
          </w:p>
        </w:tc>
        <w:tc>
          <w:tcPr>
            <w:tcW w:w="1424" w:type="dxa"/>
            <w:tcBorders/>
            <w:shd w:color="auto" w:fill="E7E6E6" w:themeFill="background2" w:val="clear"/>
          </w:tcPr>
          <w:p>
            <w:pPr>
              <w:pStyle w:val="Normal"/>
              <w:spacing w:lineRule="auto" w:line="240" w:before="0" w:after="0"/>
              <w:rPr/>
            </w:pPr>
            <w:r>
              <w:rPr>
                <w:rFonts w:cs="Calibri" w:cstheme="minorHAnsi"/>
              </w:rPr>
              <w:t>√</w:t>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color="auto" w:fill="FFFFFF" w:themeFill="background1" w:val="clear"/>
          </w:tcPr>
          <w:p>
            <w:pPr>
              <w:pStyle w:val="Normal"/>
              <w:spacing w:lineRule="auto" w:line="240" w:before="0" w:after="0"/>
              <w:rPr/>
            </w:pPr>
            <w:r>
              <w:rPr/>
              <w:t>11.04.2016</w:t>
            </w:r>
          </w:p>
        </w:tc>
        <w:tc>
          <w:tcPr>
            <w:tcW w:w="1277" w:type="dxa"/>
            <w:tcBorders/>
            <w:shd w:color="auto" w:fill="FFFFFF" w:themeFill="background1" w:val="clear"/>
          </w:tcPr>
          <w:p>
            <w:pPr>
              <w:pStyle w:val="Normal"/>
              <w:spacing w:lineRule="auto" w:line="240" w:before="0" w:after="0"/>
              <w:rPr>
                <w:rFonts w:cs="Calibri" w:cstheme="minorHAnsi"/>
              </w:rPr>
            </w:pPr>
            <w:r>
              <w:rPr>
                <w:rFonts w:cs="Calibri" w:cstheme="minorHAnsi"/>
              </w:rPr>
            </w:r>
          </w:p>
        </w:tc>
        <w:tc>
          <w:tcPr>
            <w:tcW w:w="2628" w:type="dxa"/>
            <w:tcBorders/>
            <w:shd w:color="auto" w:fill="FFFFFF" w:themeFill="background1" w:val="clear"/>
          </w:tcPr>
          <w:p>
            <w:pPr>
              <w:pStyle w:val="Normal"/>
              <w:spacing w:lineRule="auto" w:line="240" w:before="0" w:after="0"/>
              <w:rPr/>
            </w:pPr>
            <w:r>
              <w:rPr/>
              <w:t>Deadline for return of housing preference forms</w:t>
            </w:r>
          </w:p>
        </w:tc>
        <w:tc>
          <w:tcPr>
            <w:tcW w:w="1424" w:type="dxa"/>
            <w:tcBorders/>
            <w:shd w:color="auto" w:fill="FFFFFF" w:themeFill="background1" w:val="clear"/>
          </w:tcPr>
          <w:p>
            <w:pPr>
              <w:pStyle w:val="Normal"/>
              <w:spacing w:lineRule="auto" w:line="240" w:before="0" w:after="0"/>
              <w:rPr>
                <w:rFonts w:cs="Calibri" w:cstheme="minorHAnsi"/>
              </w:rPr>
            </w:pPr>
            <w:r>
              <w:rPr>
                <w:rFonts w:cs="Calibri" w:cstheme="minorHAnsi"/>
              </w:rPr>
              <w:t>√</w:t>
            </w:r>
          </w:p>
        </w:tc>
        <w:tc>
          <w:tcPr>
            <w:tcW w:w="1193" w:type="dxa"/>
            <w:tcBorders/>
            <w:shd w:color="auto" w:fill="FFFFFF" w:themeFill="background1" w:val="clear"/>
          </w:tcPr>
          <w:p>
            <w:pPr>
              <w:pStyle w:val="Normal"/>
              <w:spacing w:lineRule="auto" w:line="240" w:before="0" w:after="0"/>
              <w:rPr>
                <w:rFonts w:cs="Calibri" w:cstheme="minorHAnsi"/>
              </w:rPr>
            </w:pPr>
            <w:r>
              <w:rPr>
                <w:rFonts w:cs="Calibri" w:cstheme="minorHAnsi"/>
              </w:rPr>
            </w:r>
          </w:p>
        </w:tc>
        <w:tc>
          <w:tcPr>
            <w:tcW w:w="1134" w:type="dxa"/>
            <w:tcBorders/>
            <w:shd w:color="auto" w:fill="FFFFFF" w:themeFill="background1" w:val="clear"/>
          </w:tcPr>
          <w:p>
            <w:pPr>
              <w:pStyle w:val="Normal"/>
              <w:spacing w:lineRule="auto" w:line="240" w:before="0" w:after="0"/>
              <w:rPr>
                <w:rFonts w:cs="Calibri" w:cstheme="minorHAnsi"/>
              </w:rPr>
            </w:pPr>
            <w:r>
              <w:rPr>
                <w:rFonts w:cs="Calibri" w:cstheme="minorHAnsi"/>
              </w:rPr>
              <w:t xml:space="preserve">14% </w:t>
            </w:r>
          </w:p>
        </w:tc>
        <w:tc>
          <w:tcPr>
            <w:tcW w:w="5102" w:type="dxa"/>
            <w:tcBorders/>
            <w:shd w:color="auto" w:fill="FFFFFF" w:themeFill="background1" w:val="clear"/>
          </w:tcPr>
          <w:p>
            <w:pPr>
              <w:pStyle w:val="Normal"/>
              <w:spacing w:lineRule="auto" w:line="240" w:before="0" w:after="0"/>
              <w:rPr>
                <w:rFonts w:cs="Calibri" w:cstheme="minorHAnsi"/>
              </w:rPr>
            </w:pPr>
            <w:r>
              <w:rPr>
                <w:rFonts w:cs="Calibri" w:cstheme="minorHAnsi"/>
              </w:rPr>
              <w:t>Preferences expressed for Site 2 (Conyngham Lane) then for Brickfields then for site 4 (recreation ground near the surgery).  Full analysis to be found at:</w:t>
            </w:r>
          </w:p>
          <w:p>
            <w:pPr>
              <w:pStyle w:val="Normal"/>
              <w:spacing w:lineRule="auto" w:line="240" w:before="0" w:after="0"/>
              <w:rPr>
                <w:rFonts w:cs="Calibri" w:cstheme="minorHAnsi"/>
              </w:rPr>
            </w:pPr>
            <w:r>
              <w:rPr>
                <w:rFonts w:cs="Calibri" w:cstheme="minorHAnsi"/>
              </w:rPr>
            </w:r>
          </w:p>
          <w:p>
            <w:pPr>
              <w:pStyle w:val="Normal"/>
              <w:spacing w:lineRule="auto" w:line="240" w:before="0" w:after="0"/>
              <w:rPr/>
            </w:pPr>
            <w:hyperlink r:id="rId2">
              <w:r>
                <w:rPr>
                  <w:rStyle w:val="InternetLink"/>
                  <w:b/>
                </w:rPr>
                <w:t>www.bridgevillage.org.uk/NHP/index.asp</w:t>
              </w:r>
            </w:hyperlink>
          </w:p>
          <w:p>
            <w:pPr>
              <w:pStyle w:val="Normal"/>
              <w:spacing w:lineRule="auto" w:line="240" w:before="0" w:after="0"/>
              <w:rPr>
                <w:b/>
                <w:b/>
              </w:rPr>
            </w:pPr>
            <w:r>
              <w:rPr>
                <w:b/>
              </w:rPr>
            </w:r>
          </w:p>
          <w:p>
            <w:pPr>
              <w:pStyle w:val="Normal"/>
              <w:spacing w:lineRule="auto" w:line="240" w:before="0" w:after="0"/>
              <w:rPr>
                <w:b/>
                <w:b/>
              </w:rPr>
            </w:pPr>
            <w:r>
              <w:rPr>
                <w:b/>
              </w:rPr>
              <w:t xml:space="preserve">Go to “documents” and click on </w:t>
            </w:r>
          </w:p>
          <w:p>
            <w:pPr>
              <w:pStyle w:val="Normal"/>
              <w:spacing w:lineRule="auto" w:line="240" w:before="0" w:after="0"/>
              <w:rPr/>
            </w:pPr>
            <w:r>
              <w:rPr/>
              <w:t>“</w:t>
            </w:r>
            <w:hyperlink r:id="rId3" w:tgtFrame="Opens in new tab">
              <w:r>
                <w:rPr>
                  <w:rStyle w:val="ListLabel30"/>
                  <w:rFonts w:cs="Arial" w:ascii="Arial" w:hAnsi="Arial"/>
                  <w:color w:val="000000"/>
                  <w:sz w:val="23"/>
                  <w:szCs w:val="23"/>
                  <w:u w:val="single"/>
                </w:rPr>
                <w:t>NPC Reports &amp; papers.</w:t>
              </w:r>
            </w:hyperlink>
            <w:r>
              <w:rPr/>
              <w:t>”   and then open the file entitled “   2016 04 April NP”</w:t>
            </w:r>
          </w:p>
          <w:p>
            <w:pPr>
              <w:pStyle w:val="Normal"/>
              <w:spacing w:lineRule="auto" w:line="240" w:before="0" w:after="0"/>
              <w:rPr>
                <w:rFonts w:cs="Calibri" w:cstheme="minorHAnsi"/>
              </w:rPr>
            </w:pPr>
            <w:r>
              <w:rPr>
                <w:rFonts w:cs="Calibri" w:cstheme="minorHAnsi"/>
              </w:rPr>
            </w:r>
          </w:p>
        </w:tc>
      </w:tr>
      <w:tr>
        <w:trPr/>
        <w:tc>
          <w:tcPr>
            <w:tcW w:w="1700" w:type="dxa"/>
            <w:tcBorders/>
            <w:shd w:color="auto" w:fill="E7E6E6" w:themeFill="background2" w:val="clear"/>
          </w:tcPr>
          <w:p>
            <w:pPr>
              <w:pStyle w:val="Normal"/>
              <w:spacing w:lineRule="auto" w:line="240" w:before="0" w:after="0"/>
              <w:rPr/>
            </w:pPr>
            <w:r>
              <w:rPr/>
              <w:t>25.04.2016</w:t>
            </w:r>
          </w:p>
        </w:tc>
        <w:tc>
          <w:tcPr>
            <w:tcW w:w="1277" w:type="dxa"/>
            <w:tcBorders/>
            <w:shd w:color="auto" w:fill="E7E6E6" w:themeFill="background2" w:val="clear"/>
          </w:tcPr>
          <w:p>
            <w:pPr>
              <w:pStyle w:val="Normal"/>
              <w:spacing w:lineRule="auto" w:line="240" w:before="0" w:after="0"/>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b/>
                <w:b/>
              </w:rPr>
            </w:pPr>
            <w:r>
              <w:rPr>
                <w:b/>
              </w:rPr>
              <w:t>28.04.2016</w:t>
            </w:r>
          </w:p>
        </w:tc>
        <w:tc>
          <w:tcPr>
            <w:tcW w:w="1277" w:type="dxa"/>
            <w:tcBorders/>
            <w:shd w:color="auto" w:fill="E7E6E6" w:themeFill="background2" w:val="clear"/>
          </w:tcPr>
          <w:p>
            <w:pPr>
              <w:pStyle w:val="Normal"/>
              <w:spacing w:lineRule="auto" w:line="240" w:before="0" w:after="0"/>
              <w:rPr>
                <w:b/>
                <w:b/>
              </w:rPr>
            </w:pPr>
            <w:r>
              <w:rPr>
                <w:b/>
              </w:rPr>
            </w:r>
          </w:p>
        </w:tc>
        <w:tc>
          <w:tcPr>
            <w:tcW w:w="2628" w:type="dxa"/>
            <w:tcBorders/>
            <w:shd w:color="auto" w:fill="E7E6E6" w:themeFill="background2" w:val="clear"/>
          </w:tcPr>
          <w:p>
            <w:pPr>
              <w:pStyle w:val="Normal"/>
              <w:spacing w:lineRule="auto" w:line="240" w:before="0" w:after="0"/>
              <w:rPr>
                <w:b/>
                <w:b/>
              </w:rPr>
            </w:pPr>
            <w:r>
              <w:rPr>
                <w:b/>
              </w:rPr>
              <w:t>Annual Parish Meeting-feedback on NP given</w:t>
            </w:r>
          </w:p>
        </w:tc>
        <w:tc>
          <w:tcPr>
            <w:tcW w:w="1424" w:type="dxa"/>
            <w:tcBorders/>
            <w:shd w:color="auto" w:fill="E7E6E6" w:themeFill="background2" w:val="clear"/>
          </w:tcPr>
          <w:p>
            <w:pPr>
              <w:pStyle w:val="Normal"/>
              <w:spacing w:lineRule="auto" w:line="240" w:before="0" w:after="0"/>
              <w:rPr/>
            </w:pPr>
            <w:r>
              <w:rPr>
                <w:rFonts w:cs="Calibri" w:cstheme="minorHAnsi"/>
              </w:rPr>
              <w:t>√</w:t>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color="auto" w:fill="FFFFFF" w:themeFill="background1" w:val="clear"/>
          </w:tcPr>
          <w:p>
            <w:pPr>
              <w:pStyle w:val="Normal"/>
              <w:spacing w:lineRule="auto" w:line="240" w:before="0" w:after="0"/>
              <w:rPr/>
            </w:pPr>
            <w:r>
              <w:rPr/>
              <w:t>06.05.2016</w:t>
            </w:r>
          </w:p>
        </w:tc>
        <w:tc>
          <w:tcPr>
            <w:tcW w:w="1277" w:type="dxa"/>
            <w:tcBorders/>
            <w:shd w:color="auto" w:fill="FFFFFF" w:themeFill="background1" w:val="clear"/>
          </w:tcPr>
          <w:p>
            <w:pPr>
              <w:pStyle w:val="Normal"/>
              <w:spacing w:lineRule="auto" w:line="240" w:before="0" w:after="0"/>
              <w:rPr/>
            </w:pPr>
            <w:r>
              <w:rPr>
                <w:rFonts w:cs="Calibri" w:cstheme="minorHAnsi"/>
              </w:rPr>
              <w:t>√</w:t>
            </w:r>
          </w:p>
        </w:tc>
        <w:tc>
          <w:tcPr>
            <w:tcW w:w="2628" w:type="dxa"/>
            <w:tcBorders/>
            <w:shd w:color="auto" w:fill="FFFFFF" w:themeFill="background1" w:val="clear"/>
          </w:tcPr>
          <w:p>
            <w:pPr>
              <w:pStyle w:val="Normal"/>
              <w:spacing w:lineRule="auto" w:line="240" w:before="0" w:after="0"/>
              <w:rPr/>
            </w:pPr>
            <w:r>
              <w:rPr/>
            </w:r>
          </w:p>
        </w:tc>
        <w:tc>
          <w:tcPr>
            <w:tcW w:w="1424" w:type="dxa"/>
            <w:tcBorders/>
            <w:shd w:color="auto" w:fill="FFFFFF" w:themeFill="background1" w:val="clear"/>
          </w:tcPr>
          <w:p>
            <w:pPr>
              <w:pStyle w:val="Normal"/>
              <w:spacing w:lineRule="auto" w:line="240" w:before="0" w:after="0"/>
              <w:rPr/>
            </w:pPr>
            <w:r>
              <w:rPr/>
            </w:r>
          </w:p>
        </w:tc>
        <w:tc>
          <w:tcPr>
            <w:tcW w:w="1193" w:type="dxa"/>
            <w:tcBorders/>
            <w:shd w:color="auto" w:fill="FFFFFF" w:themeFill="background1" w:val="clear"/>
          </w:tcPr>
          <w:p>
            <w:pPr>
              <w:pStyle w:val="Normal"/>
              <w:spacing w:lineRule="auto" w:line="240" w:before="0" w:after="0"/>
              <w:rPr/>
            </w:pPr>
            <w:r>
              <w:rPr/>
            </w:r>
          </w:p>
        </w:tc>
        <w:tc>
          <w:tcPr>
            <w:tcW w:w="1134" w:type="dxa"/>
            <w:tcBorders/>
            <w:shd w:color="auto" w:fill="FFFFFF" w:themeFill="background1" w:val="clear"/>
          </w:tcPr>
          <w:p>
            <w:pPr>
              <w:pStyle w:val="Normal"/>
              <w:spacing w:lineRule="auto" w:line="240" w:before="0" w:after="0"/>
              <w:rPr/>
            </w:pPr>
            <w:r>
              <w:rPr/>
            </w:r>
          </w:p>
        </w:tc>
        <w:tc>
          <w:tcPr>
            <w:tcW w:w="5102" w:type="dxa"/>
            <w:tcBorders/>
            <w:shd w:color="auto" w:fill="FFFFFF" w:themeFill="background1" w:val="clear"/>
          </w:tcPr>
          <w:p>
            <w:pPr>
              <w:pStyle w:val="Normal"/>
              <w:spacing w:lineRule="auto" w:line="240" w:before="0" w:after="0"/>
              <w:rPr/>
            </w:pPr>
            <w:r>
              <w:rPr/>
              <w:t>Record made of changes made to Section C of the plan.</w:t>
            </w:r>
          </w:p>
        </w:tc>
      </w:tr>
      <w:tr>
        <w:trPr/>
        <w:tc>
          <w:tcPr>
            <w:tcW w:w="1700" w:type="dxa"/>
            <w:tcBorders/>
            <w:shd w:color="auto" w:fill="E7E6E6" w:themeFill="background2" w:val="clear"/>
          </w:tcPr>
          <w:p>
            <w:pPr>
              <w:pStyle w:val="Normal"/>
              <w:spacing w:lineRule="auto" w:line="240" w:before="0" w:after="0"/>
              <w:rPr/>
            </w:pPr>
            <w:r>
              <w:rPr/>
              <w:t>27.05.2016</w:t>
            </w:r>
          </w:p>
        </w:tc>
        <w:tc>
          <w:tcPr>
            <w:tcW w:w="1277" w:type="dxa"/>
            <w:tcBorders/>
            <w:shd w:color="auto" w:fill="E7E6E6" w:themeFill="background2" w:val="clear"/>
          </w:tcPr>
          <w:p>
            <w:pPr>
              <w:pStyle w:val="Normal"/>
              <w:spacing w:lineRule="auto" w:line="240" w:before="0" w:after="0"/>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color="auto" w:fill="E7E6E6" w:themeFill="background2" w:val="clear"/>
          </w:tcPr>
          <w:p>
            <w:pPr>
              <w:pStyle w:val="Normal"/>
              <w:spacing w:lineRule="auto" w:line="240" w:before="0" w:after="0"/>
              <w:rPr/>
            </w:pPr>
            <w:r>
              <w:rPr/>
              <w:t>10.06.2016</w:t>
            </w:r>
          </w:p>
        </w:tc>
        <w:tc>
          <w:tcPr>
            <w:tcW w:w="1277" w:type="dxa"/>
            <w:tcBorders/>
            <w:shd w:color="auto" w:fill="E7E6E6" w:themeFill="background2" w:val="clear"/>
          </w:tcPr>
          <w:p>
            <w:pPr>
              <w:pStyle w:val="Normal"/>
              <w:spacing w:lineRule="auto" w:line="240" w:before="0" w:after="0"/>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pPr>
            <w:r>
              <w:rPr/>
              <w:t>June 2016</w:t>
            </w:r>
          </w:p>
        </w:tc>
        <w:tc>
          <w:tcPr>
            <w:tcW w:w="1277" w:type="dxa"/>
            <w:tcBorders/>
            <w:shd w:fill="auto" w:val="clear"/>
          </w:tcPr>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pPr>
            <w:r>
              <w:rPr/>
              <w:t>Rural community profile received from ACRK</w:t>
            </w:r>
          </w:p>
        </w:tc>
        <w:tc>
          <w:tcPr>
            <w:tcW w:w="1424" w:type="dxa"/>
            <w:tcBorders/>
            <w:shd w:fill="auto" w:val="clear"/>
          </w:tcPr>
          <w:p>
            <w:pPr>
              <w:pStyle w:val="Normal"/>
              <w:spacing w:lineRule="auto" w:line="240" w:before="0" w:after="0"/>
              <w:rPr/>
            </w:pPr>
            <w:r>
              <w:rPr>
                <w:rFonts w:cs="Calibri" w:cstheme="minorHAnsi"/>
              </w:rPr>
              <w:t>√</w:t>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Profile added as Appendix D to the NP.</w:t>
            </w:r>
          </w:p>
        </w:tc>
      </w:tr>
      <w:tr>
        <w:trPr/>
        <w:tc>
          <w:tcPr>
            <w:tcW w:w="1700" w:type="dxa"/>
            <w:tcBorders/>
            <w:shd w:color="auto" w:fill="E7E6E6" w:themeFill="background2" w:val="clear"/>
          </w:tcPr>
          <w:p>
            <w:pPr>
              <w:pStyle w:val="Normal"/>
              <w:spacing w:lineRule="auto" w:line="240" w:before="0" w:after="0"/>
              <w:rPr/>
            </w:pPr>
            <w:r>
              <w:rPr/>
              <w:t>June 2016</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2628" w:type="dxa"/>
            <w:tcBorders/>
            <w:shd w:color="auto" w:fill="E7E6E6" w:themeFill="background2" w:val="clear"/>
          </w:tcPr>
          <w:p>
            <w:pPr>
              <w:pStyle w:val="Normal"/>
              <w:spacing w:lineRule="auto" w:line="240" w:before="0" w:after="0"/>
              <w:rPr>
                <w:b/>
                <w:b/>
              </w:rPr>
            </w:pPr>
            <w:r>
              <w:rPr>
                <w:b/>
              </w:rPr>
              <w:t>Appointed Jim Boot as advisor</w:t>
            </w:r>
          </w:p>
        </w:tc>
        <w:tc>
          <w:tcPr>
            <w:tcW w:w="1424" w:type="dxa"/>
            <w:tcBorders/>
            <w:shd w:color="auto" w:fill="E7E6E6" w:themeFill="background2" w:val="clear"/>
          </w:tcPr>
          <w:p>
            <w:pPr>
              <w:pStyle w:val="Normal"/>
              <w:spacing w:lineRule="auto" w:line="240" w:before="0" w:after="0"/>
              <w:rPr/>
            </w:pPr>
            <w:r>
              <w:rPr/>
            </w:r>
          </w:p>
        </w:tc>
        <w:tc>
          <w:tcPr>
            <w:tcW w:w="1193" w:type="dxa"/>
            <w:tcBorders/>
            <w:shd w:color="auto" w:fill="E7E6E6" w:themeFill="background2" w:val="clear"/>
          </w:tcPr>
          <w:p>
            <w:pPr>
              <w:pStyle w:val="Normal"/>
              <w:spacing w:lineRule="auto" w:line="240" w:before="0" w:after="0"/>
              <w:rPr/>
            </w:pPr>
            <w:r>
              <w:rPr/>
            </w:r>
          </w:p>
        </w:tc>
        <w:tc>
          <w:tcPr>
            <w:tcW w:w="1134" w:type="dxa"/>
            <w:tcBorders/>
            <w:shd w:color="auto" w:fill="E7E6E6" w:themeFill="background2" w:val="clear"/>
          </w:tcPr>
          <w:p>
            <w:pPr>
              <w:pStyle w:val="Normal"/>
              <w:spacing w:lineRule="auto" w:line="240" w:before="0" w:after="0"/>
              <w:rPr/>
            </w:pPr>
            <w:r>
              <w:rPr/>
            </w:r>
          </w:p>
        </w:tc>
        <w:tc>
          <w:tcPr>
            <w:tcW w:w="5102" w:type="dxa"/>
            <w:tcBorders/>
            <w:shd w:color="auto" w:fill="E7E6E6" w:themeFill="background2" w:val="clear"/>
          </w:tcPr>
          <w:p>
            <w:pPr>
              <w:pStyle w:val="Normal"/>
              <w:spacing w:lineRule="auto" w:line="240" w:before="0" w:after="0"/>
              <w:rPr/>
            </w:pPr>
            <w:r>
              <w:rPr/>
            </w:r>
          </w:p>
        </w:tc>
      </w:tr>
      <w:tr>
        <w:trPr/>
        <w:tc>
          <w:tcPr>
            <w:tcW w:w="1700" w:type="dxa"/>
            <w:tcBorders/>
            <w:shd w:fill="auto" w:val="clear"/>
          </w:tcPr>
          <w:p>
            <w:pPr>
              <w:pStyle w:val="Normal"/>
              <w:spacing w:lineRule="auto" w:line="240" w:before="0" w:after="0"/>
              <w:rPr/>
            </w:pPr>
            <w:r>
              <w:rPr/>
              <w:t>25 June 2016</w:t>
            </w:r>
          </w:p>
        </w:tc>
        <w:tc>
          <w:tcPr>
            <w:tcW w:w="1277" w:type="dxa"/>
            <w:tcBorders/>
            <w:shd w:fill="auto" w:val="clear"/>
          </w:tcPr>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b/>
                <w:b/>
              </w:rPr>
            </w:pPr>
            <w:r>
              <w:rPr>
                <w:b/>
              </w:rPr>
              <w:t xml:space="preserve">School fete display on NP </w:t>
            </w:r>
          </w:p>
        </w:tc>
        <w:tc>
          <w:tcPr>
            <w:tcW w:w="1424" w:type="dxa"/>
            <w:tcBorders/>
            <w:shd w:fill="auto" w:val="clear"/>
          </w:tcPr>
          <w:p>
            <w:pPr>
              <w:pStyle w:val="Normal"/>
              <w:spacing w:lineRule="auto" w:line="240" w:before="0" w:after="0"/>
              <w:rPr/>
            </w:pPr>
            <w:r>
              <w:rPr>
                <w:rFonts w:cs="Calibri" w:cstheme="minorHAnsi"/>
              </w:rPr>
              <w:t>√</w:t>
            </w:r>
          </w:p>
        </w:tc>
        <w:tc>
          <w:tcPr>
            <w:tcW w:w="1193" w:type="dxa"/>
            <w:tcBorders/>
            <w:shd w:fill="auto" w:val="clear"/>
          </w:tcPr>
          <w:p>
            <w:pPr>
              <w:pStyle w:val="Normal"/>
              <w:spacing w:lineRule="auto" w:line="240" w:before="0" w:after="0"/>
              <w:rPr>
                <w:rFonts w:cs="Calibri" w:cstheme="minorHAnsi"/>
              </w:rPr>
            </w:pPr>
            <w:r>
              <w:rPr>
                <w:rFonts w:cs="Calibri" w:cstheme="minorHAnsi"/>
              </w:rPr>
              <w:t>√</w:t>
            </w:r>
          </w:p>
        </w:tc>
        <w:tc>
          <w:tcPr>
            <w:tcW w:w="1134" w:type="dxa"/>
            <w:tcBorders/>
            <w:shd w:fill="auto" w:val="clear"/>
          </w:tcPr>
          <w:p>
            <w:pPr>
              <w:pStyle w:val="Normal"/>
              <w:spacing w:lineRule="auto" w:line="240" w:before="0" w:after="0"/>
              <w:rPr>
                <w:rFonts w:cs="Calibri" w:cstheme="minorHAnsi"/>
              </w:rPr>
            </w:pPr>
            <w:r>
              <w:rPr>
                <w:rFonts w:cs="Calibri" w:cstheme="minorHAnsi"/>
              </w:rPr>
              <w:t>56 respondenets.</w:t>
            </w:r>
          </w:p>
        </w:tc>
        <w:tc>
          <w:tcPr>
            <w:tcW w:w="5102" w:type="dxa"/>
            <w:tcBorders/>
            <w:shd w:fill="auto" w:val="clear"/>
          </w:tcPr>
          <w:p>
            <w:pPr>
              <w:pStyle w:val="Normal"/>
              <w:spacing w:lineRule="auto" w:line="240" w:before="0" w:after="0"/>
              <w:rPr>
                <w:rFonts w:cs="Calibri" w:cstheme="minorHAnsi"/>
                <w:i/>
                <w:i/>
              </w:rPr>
            </w:pPr>
            <w:r>
              <w:rPr>
                <w:rFonts w:cs="Calibri" w:cstheme="minorHAnsi"/>
                <w:i/>
              </w:rPr>
              <w:t>The clear outcome of this consultation was that the Conyngham Lane site for housing was not popular.  29 negative comments about this site: just 9 in favour.  In marked contrast to the consultation carried out in March 2016 (above).</w:t>
            </w:r>
          </w:p>
        </w:tc>
      </w:tr>
      <w:tr>
        <w:trPr/>
        <w:tc>
          <w:tcPr>
            <w:tcW w:w="1700" w:type="dxa"/>
            <w:tcBorders/>
            <w:shd w:fill="auto" w:val="clear"/>
          </w:tcPr>
          <w:p>
            <w:pPr>
              <w:pStyle w:val="Normal"/>
              <w:spacing w:lineRule="auto" w:line="240" w:before="0" w:after="0"/>
              <w:rPr/>
            </w:pPr>
            <w:r>
              <w:rPr/>
              <w:t>26 July 2016</w:t>
            </w:r>
          </w:p>
        </w:tc>
        <w:tc>
          <w:tcPr>
            <w:tcW w:w="1277" w:type="dxa"/>
            <w:tcBorders/>
            <w:shd w:fill="auto" w:val="clear"/>
          </w:tcPr>
          <w:p>
            <w:pPr>
              <w:pStyle w:val="Normal"/>
              <w:spacing w:lineRule="auto" w:line="240" w:before="0" w:after="0"/>
              <w:rPr>
                <w:rFonts w:cs="Calibri" w:cstheme="minorHAnsi"/>
              </w:rPr>
            </w:pPr>
            <w:r>
              <w:rPr>
                <w:rFonts w:cs="Calibri" w:cstheme="minorHAnsi"/>
                <w:b/>
              </w:rPr>
              <w:t>Met with CCC planners</w:t>
            </w:r>
          </w:p>
        </w:tc>
        <w:tc>
          <w:tcPr>
            <w:tcW w:w="2628" w:type="dxa"/>
            <w:tcBorders/>
            <w:shd w:fill="auto" w:val="clear"/>
          </w:tcPr>
          <w:p>
            <w:pPr>
              <w:pStyle w:val="Normal"/>
              <w:spacing w:lineRule="auto" w:line="240" w:before="0" w:after="0"/>
              <w:rPr>
                <w:b/>
                <w:b/>
              </w:rPr>
            </w:pPr>
            <w:r>
              <w:rPr>
                <w:b/>
              </w:rPr>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i/>
                <w:i/>
              </w:rPr>
            </w:pPr>
            <w:r>
              <w:rPr>
                <w:rFonts w:cs="Calibri" w:cstheme="minorHAnsi"/>
                <w:i/>
              </w:rPr>
              <w:t xml:space="preserve">Cathy McNab of CCC suggested sustainability appraisals of sites considered for inclusion in the NP.  This idea was adopted .  </w:t>
            </w:r>
            <w:r>
              <w:rPr>
                <w:rFonts w:cs="Calibri" w:cstheme="minorHAnsi"/>
              </w:rPr>
              <w:t>This meeting led to the emergence of policy A3 regarding Great Pett Farm.</w:t>
            </w:r>
          </w:p>
        </w:tc>
      </w:tr>
      <w:tr>
        <w:trPr/>
        <w:tc>
          <w:tcPr>
            <w:tcW w:w="1700" w:type="dxa"/>
            <w:tcBorders/>
            <w:shd w:fill="auto" w:val="clear"/>
          </w:tcPr>
          <w:p>
            <w:pPr>
              <w:pStyle w:val="Normal"/>
              <w:spacing w:lineRule="auto" w:line="240" w:before="0" w:after="0"/>
              <w:rPr/>
            </w:pPr>
            <w:r>
              <w:rPr/>
              <w:t>29 July 2016</w:t>
            </w:r>
          </w:p>
        </w:tc>
        <w:tc>
          <w:tcPr>
            <w:tcW w:w="1277" w:type="dxa"/>
            <w:tcBorders/>
            <w:shd w:fill="auto" w:val="clear"/>
          </w:tcPr>
          <w:p>
            <w:pPr>
              <w:pStyle w:val="Normal"/>
              <w:spacing w:lineRule="auto" w:line="240" w:before="0" w:after="0"/>
              <w:rPr>
                <w:rFonts w:cs="Calibri" w:cstheme="minorHAnsi"/>
                <w:b/>
                <w:b/>
              </w:rPr>
            </w:pPr>
            <w:r>
              <w:rPr>
                <w:rFonts w:cs="Calibri" w:cstheme="minorHAnsi"/>
              </w:rPr>
              <w:t>√</w:t>
            </w:r>
          </w:p>
        </w:tc>
        <w:tc>
          <w:tcPr>
            <w:tcW w:w="2628" w:type="dxa"/>
            <w:tcBorders/>
            <w:shd w:fill="auto" w:val="clear"/>
          </w:tcPr>
          <w:p>
            <w:pPr>
              <w:pStyle w:val="Normal"/>
              <w:spacing w:lineRule="auto" w:line="240" w:before="0" w:after="0"/>
              <w:rPr>
                <w:b/>
                <w:b/>
              </w:rPr>
            </w:pPr>
            <w:r>
              <w:rPr>
                <w:b/>
              </w:rPr>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CCC reportedly have made it clear they would like Recreation Ground sites considered for housing. This became NP policy after August 2017 (see below).</w:t>
            </w:r>
          </w:p>
        </w:tc>
      </w:tr>
      <w:tr>
        <w:trPr/>
        <w:tc>
          <w:tcPr>
            <w:tcW w:w="1700" w:type="dxa"/>
            <w:tcBorders/>
            <w:shd w:fill="auto" w:val="clear"/>
          </w:tcPr>
          <w:p>
            <w:pPr>
              <w:pStyle w:val="Normal"/>
              <w:spacing w:lineRule="auto" w:line="240" w:before="0" w:after="0"/>
              <w:rPr/>
            </w:pPr>
            <w:r>
              <w:rPr/>
              <w:t>25 August 2016</w:t>
            </w:r>
          </w:p>
        </w:tc>
        <w:tc>
          <w:tcPr>
            <w:tcW w:w="1277" w:type="dxa"/>
            <w:tcBorders/>
            <w:shd w:fill="auto" w:val="clear"/>
          </w:tcPr>
          <w:p>
            <w:pPr>
              <w:pStyle w:val="Normal"/>
              <w:spacing w:lineRule="auto" w:line="240" w:before="0" w:after="0"/>
              <w:rPr>
                <w:rFonts w:cs="Calibri" w:cstheme="minorHAnsi"/>
                <w:b/>
                <w:b/>
              </w:rPr>
            </w:pPr>
            <w:r>
              <w:rPr>
                <w:rFonts w:cs="Calibri" w:cstheme="minorHAnsi"/>
              </w:rPr>
              <w:t>√</w:t>
            </w:r>
          </w:p>
        </w:tc>
        <w:tc>
          <w:tcPr>
            <w:tcW w:w="2628" w:type="dxa"/>
            <w:tcBorders/>
            <w:shd w:fill="auto" w:val="clear"/>
          </w:tcPr>
          <w:p>
            <w:pPr>
              <w:pStyle w:val="Normal"/>
              <w:spacing w:lineRule="auto" w:line="240" w:before="0" w:after="0"/>
              <w:rPr>
                <w:b/>
                <w:b/>
              </w:rPr>
            </w:pPr>
            <w:r>
              <w:rPr>
                <w:b/>
              </w:rPr>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Decision taken to carry out sustainability appraisals-later emerged in the final regulation 16 version of the NP as Appendix B</w:t>
            </w:r>
          </w:p>
        </w:tc>
      </w:tr>
      <w:tr>
        <w:trPr/>
        <w:tc>
          <w:tcPr>
            <w:tcW w:w="1700" w:type="dxa"/>
            <w:tcBorders/>
            <w:shd w:color="auto" w:fill="FFFFFF" w:themeFill="background1" w:val="clear"/>
          </w:tcPr>
          <w:p>
            <w:pPr>
              <w:pStyle w:val="Normal"/>
              <w:spacing w:lineRule="auto" w:line="240" w:before="0" w:after="0"/>
              <w:rPr/>
            </w:pPr>
            <w:r>
              <w:rPr/>
              <w:t>30 September 2016</w:t>
            </w:r>
          </w:p>
        </w:tc>
        <w:tc>
          <w:tcPr>
            <w:tcW w:w="1277" w:type="dxa"/>
            <w:tcBorders/>
            <w:shd w:color="auto" w:fill="FFFFFF" w:themeFill="background1" w:val="clear"/>
          </w:tcPr>
          <w:p>
            <w:pPr>
              <w:pStyle w:val="Normal"/>
              <w:spacing w:lineRule="auto" w:line="240" w:before="0" w:after="0"/>
              <w:rPr>
                <w:rFonts w:cs="Calibri" w:cstheme="minorHAnsi"/>
              </w:rPr>
            </w:pPr>
            <w:r>
              <w:rPr>
                <w:rFonts w:cs="Calibri" w:cstheme="minorHAnsi"/>
              </w:rPr>
              <w:t>√</w:t>
            </w:r>
          </w:p>
        </w:tc>
        <w:tc>
          <w:tcPr>
            <w:tcW w:w="2628" w:type="dxa"/>
            <w:tcBorders/>
            <w:shd w:color="auto" w:fill="FFFFFF" w:themeFill="background1" w:val="clear"/>
          </w:tcPr>
          <w:p>
            <w:pPr>
              <w:pStyle w:val="Normal"/>
              <w:spacing w:lineRule="auto" w:line="240" w:before="0" w:after="0"/>
              <w:rPr>
                <w:b/>
                <w:b/>
              </w:rPr>
            </w:pPr>
            <w:r>
              <w:rPr>
                <w:b/>
              </w:rPr>
            </w:r>
          </w:p>
        </w:tc>
        <w:tc>
          <w:tcPr>
            <w:tcW w:w="1424" w:type="dxa"/>
            <w:tcBorders/>
            <w:shd w:color="auto" w:fill="FFFFFF" w:themeFill="background1" w:val="clear"/>
          </w:tcPr>
          <w:p>
            <w:pPr>
              <w:pStyle w:val="Normal"/>
              <w:spacing w:lineRule="auto" w:line="240" w:before="0" w:after="0"/>
              <w:rPr>
                <w:rFonts w:cs="Calibri" w:cstheme="minorHAnsi"/>
              </w:rPr>
            </w:pPr>
            <w:r>
              <w:rPr>
                <w:rFonts w:cs="Calibri" w:cstheme="minorHAnsi"/>
              </w:rPr>
            </w:r>
          </w:p>
        </w:tc>
        <w:tc>
          <w:tcPr>
            <w:tcW w:w="1193" w:type="dxa"/>
            <w:tcBorders/>
            <w:shd w:color="auto" w:fill="FFFFFF" w:themeFill="background1" w:val="clear"/>
          </w:tcPr>
          <w:p>
            <w:pPr>
              <w:pStyle w:val="Normal"/>
              <w:spacing w:lineRule="auto" w:line="240" w:before="0" w:after="0"/>
              <w:rPr>
                <w:rFonts w:cs="Calibri" w:cstheme="minorHAnsi"/>
              </w:rPr>
            </w:pPr>
            <w:r>
              <w:rPr>
                <w:rFonts w:cs="Calibri" w:cstheme="minorHAnsi"/>
              </w:rPr>
            </w:r>
          </w:p>
        </w:tc>
        <w:tc>
          <w:tcPr>
            <w:tcW w:w="1134" w:type="dxa"/>
            <w:tcBorders/>
            <w:shd w:color="auto" w:fill="FFFFFF" w:themeFill="background1" w:val="clear"/>
          </w:tcPr>
          <w:p>
            <w:pPr>
              <w:pStyle w:val="Normal"/>
              <w:spacing w:lineRule="auto" w:line="240" w:before="0" w:after="0"/>
              <w:rPr>
                <w:rFonts w:cs="Calibri" w:cstheme="minorHAnsi"/>
              </w:rPr>
            </w:pPr>
            <w:r>
              <w:rPr>
                <w:rFonts w:cs="Calibri" w:cstheme="minorHAnsi"/>
              </w:rPr>
            </w:r>
          </w:p>
        </w:tc>
        <w:tc>
          <w:tcPr>
            <w:tcW w:w="5102" w:type="dxa"/>
            <w:tcBorders/>
            <w:shd w:color="auto" w:fill="FFFFFF" w:themeFill="background1" w:val="clear"/>
          </w:tcPr>
          <w:p>
            <w:pPr>
              <w:pStyle w:val="Normal"/>
              <w:spacing w:lineRule="auto" w:line="240" w:before="0" w:after="0"/>
              <w:rPr>
                <w:rFonts w:cs="Calibri" w:cstheme="minorHAnsi"/>
              </w:rPr>
            </w:pPr>
            <w:r>
              <w:rPr>
                <w:rFonts w:cs="Calibri" w:cstheme="minorHAnsi"/>
              </w:rPr>
              <w:t>Up to date flood map provided by the Environment Agency-for inclusion in the final version of the plan-though a version dating May 2018 was eventually included in the NP</w:t>
            </w:r>
          </w:p>
        </w:tc>
      </w:tr>
      <w:tr>
        <w:trPr/>
        <w:tc>
          <w:tcPr>
            <w:tcW w:w="1700" w:type="dxa"/>
            <w:tcBorders/>
            <w:shd w:color="auto" w:fill="E7E6E6" w:themeFill="background2" w:val="clear"/>
          </w:tcPr>
          <w:p>
            <w:pPr>
              <w:pStyle w:val="Normal"/>
              <w:spacing w:lineRule="auto" w:line="240" w:before="0" w:after="0"/>
              <w:rPr/>
            </w:pPr>
            <w:r>
              <w:rPr/>
              <w:t>13 October 2016</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b/>
              </w:rPr>
              <w:t>Met with CCC planners</w:t>
            </w:r>
          </w:p>
        </w:tc>
        <w:tc>
          <w:tcPr>
            <w:tcW w:w="2628" w:type="dxa"/>
            <w:tcBorders/>
            <w:shd w:color="auto" w:fill="E7E6E6" w:themeFill="background2" w:val="clear"/>
          </w:tcPr>
          <w:p>
            <w:pPr>
              <w:pStyle w:val="Normal"/>
              <w:spacing w:lineRule="auto" w:line="240" w:before="0" w:after="0"/>
              <w:rPr>
                <w:b/>
                <w:b/>
              </w:rPr>
            </w:pPr>
            <w:r>
              <w:rPr>
                <w:b/>
              </w:rPr>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t>Checklist of all aspects of the N Plan and conformity with emerging CDLP and other suggestions offered.</w:t>
            </w:r>
          </w:p>
          <w:p>
            <w:pPr>
              <w:pStyle w:val="Normal"/>
              <w:spacing w:lineRule="auto" w:line="240" w:before="0" w:after="0"/>
              <w:rPr>
                <w:rFonts w:cs="Calibri" w:cstheme="minorHAnsi"/>
              </w:rPr>
            </w:pPr>
            <w:r>
              <w:rPr>
                <w:rFonts w:cs="Calibri" w:cstheme="minorHAnsi"/>
              </w:rPr>
              <w:t>The document is available here</w:t>
            </w:r>
          </w:p>
          <w:p>
            <w:pPr>
              <w:pStyle w:val="Normal"/>
              <w:spacing w:lineRule="auto" w:line="240" w:before="0" w:after="0"/>
              <w:rPr>
                <w:rFonts w:cs="Calibri" w:cstheme="minorHAnsi"/>
              </w:rPr>
            </w:pPr>
            <w:r>
              <w:rPr>
                <w:rFonts w:cs="Calibri" w:cstheme="minorHAnsi"/>
              </w:rPr>
            </w:r>
          </w:p>
          <w:p>
            <w:pPr>
              <w:pStyle w:val="Normal"/>
              <w:spacing w:lineRule="auto" w:line="240" w:before="0" w:after="0"/>
              <w:rPr/>
            </w:pPr>
            <w:hyperlink r:id="rId4">
              <w:r>
                <w:rPr>
                  <w:rStyle w:val="InternetLink"/>
                  <w:b/>
                </w:rPr>
                <w:t>www.bridgevillage.org.uk/NHP/index.asp</w:t>
              </w:r>
            </w:hyperlink>
          </w:p>
          <w:p>
            <w:pPr>
              <w:pStyle w:val="Normal"/>
              <w:spacing w:lineRule="auto" w:line="240" w:before="0" w:after="0"/>
              <w:rPr>
                <w:b/>
                <w:b/>
              </w:rPr>
            </w:pPr>
            <w:r>
              <w:rPr>
                <w:b/>
              </w:rPr>
            </w:r>
          </w:p>
          <w:p>
            <w:pPr>
              <w:pStyle w:val="Normal"/>
              <w:spacing w:lineRule="auto" w:line="240" w:before="0" w:after="0"/>
              <w:rPr>
                <w:b/>
                <w:b/>
              </w:rPr>
            </w:pPr>
            <w:r>
              <w:rPr>
                <w:b/>
              </w:rPr>
              <w:t xml:space="preserve">Go to “documents” and click on </w:t>
            </w:r>
          </w:p>
          <w:p>
            <w:pPr>
              <w:pStyle w:val="Normal"/>
              <w:spacing w:lineRule="auto" w:line="240" w:before="0" w:after="0"/>
              <w:rPr/>
            </w:pPr>
            <w:r>
              <w:rPr/>
              <w:t>“</w:t>
            </w:r>
            <w:hyperlink r:id="rId5" w:tgtFrame="Opens in new tab">
              <w:r>
                <w:rPr>
                  <w:rStyle w:val="ListLabel30"/>
                  <w:rFonts w:cs="Arial" w:ascii="Arial" w:hAnsi="Arial"/>
                  <w:color w:val="000000"/>
                  <w:sz w:val="23"/>
                  <w:szCs w:val="23"/>
                  <w:u w:val="single"/>
                </w:rPr>
                <w:t>Click here for all Neighbourhood Plan Committee (NPC) agendas, minutes, reports etc.</w:t>
              </w:r>
            </w:hyperlink>
            <w:r>
              <w:rPr/>
              <w:t>”   and then open the folder entitled “NPC docs”</w:t>
            </w:r>
          </w:p>
          <w:p>
            <w:pPr>
              <w:pStyle w:val="Normal"/>
              <w:spacing w:lineRule="auto" w:line="240" w:before="0" w:after="0"/>
              <w:rPr>
                <w:rFonts w:cs="Calibri" w:cstheme="minorHAnsi"/>
              </w:rPr>
            </w:pPr>
            <w:r>
              <w:rPr>
                <w:rFonts w:cs="Calibri" w:cstheme="minorHAnsi"/>
              </w:rPr>
            </w:r>
          </w:p>
        </w:tc>
      </w:tr>
      <w:tr>
        <w:trPr/>
        <w:tc>
          <w:tcPr>
            <w:tcW w:w="1700" w:type="dxa"/>
            <w:tcBorders/>
            <w:shd w:color="auto" w:fill="FFFFFF" w:themeFill="background1" w:val="clear"/>
          </w:tcPr>
          <w:p>
            <w:pPr>
              <w:pStyle w:val="Normal"/>
              <w:spacing w:lineRule="auto" w:line="240" w:before="0" w:after="0"/>
              <w:rPr/>
            </w:pPr>
            <w:r>
              <w:rPr/>
              <w:t>28 October 2016</w:t>
            </w:r>
          </w:p>
        </w:tc>
        <w:tc>
          <w:tcPr>
            <w:tcW w:w="1277" w:type="dxa"/>
            <w:tcBorders/>
            <w:shd w:color="auto" w:fill="FFFFFF" w:themeFill="background1" w:val="clear"/>
          </w:tcPr>
          <w:p>
            <w:pPr>
              <w:pStyle w:val="Normal"/>
              <w:spacing w:lineRule="auto" w:line="240" w:before="0" w:after="0"/>
              <w:rPr>
                <w:rFonts w:cs="Calibri" w:cstheme="minorHAnsi"/>
                <w:b/>
                <w:b/>
              </w:rPr>
            </w:pPr>
            <w:r>
              <w:rPr>
                <w:rFonts w:cs="Calibri" w:cstheme="minorHAnsi"/>
              </w:rPr>
              <w:t>√</w:t>
            </w:r>
          </w:p>
        </w:tc>
        <w:tc>
          <w:tcPr>
            <w:tcW w:w="2628" w:type="dxa"/>
            <w:tcBorders/>
            <w:shd w:color="auto" w:fill="FFFFFF" w:themeFill="background1" w:val="clear"/>
          </w:tcPr>
          <w:p>
            <w:pPr>
              <w:pStyle w:val="Normal"/>
              <w:spacing w:lineRule="auto" w:line="240" w:before="0" w:after="0"/>
              <w:rPr>
                <w:b/>
                <w:b/>
              </w:rPr>
            </w:pPr>
            <w:r>
              <w:rPr>
                <w:b/>
              </w:rPr>
            </w:r>
          </w:p>
        </w:tc>
        <w:tc>
          <w:tcPr>
            <w:tcW w:w="1424" w:type="dxa"/>
            <w:tcBorders/>
            <w:shd w:color="auto" w:fill="FFFFFF" w:themeFill="background1" w:val="clear"/>
          </w:tcPr>
          <w:p>
            <w:pPr>
              <w:pStyle w:val="Normal"/>
              <w:spacing w:lineRule="auto" w:line="240" w:before="0" w:after="0"/>
              <w:rPr>
                <w:rFonts w:cs="Calibri" w:cstheme="minorHAnsi"/>
              </w:rPr>
            </w:pPr>
            <w:r>
              <w:rPr>
                <w:rFonts w:cs="Calibri" w:cstheme="minorHAnsi"/>
              </w:rPr>
            </w:r>
          </w:p>
        </w:tc>
        <w:tc>
          <w:tcPr>
            <w:tcW w:w="1193" w:type="dxa"/>
            <w:tcBorders/>
            <w:shd w:color="auto" w:fill="FFFFFF" w:themeFill="background1" w:val="clear"/>
          </w:tcPr>
          <w:p>
            <w:pPr>
              <w:pStyle w:val="Normal"/>
              <w:spacing w:lineRule="auto" w:line="240" w:before="0" w:after="0"/>
              <w:rPr>
                <w:rFonts w:cs="Calibri" w:cstheme="minorHAnsi"/>
              </w:rPr>
            </w:pPr>
            <w:r>
              <w:rPr>
                <w:rFonts w:cs="Calibri" w:cstheme="minorHAnsi"/>
              </w:rPr>
            </w:r>
          </w:p>
        </w:tc>
        <w:tc>
          <w:tcPr>
            <w:tcW w:w="1134" w:type="dxa"/>
            <w:tcBorders/>
            <w:shd w:color="auto" w:fill="FFFFFF" w:themeFill="background1" w:val="clear"/>
          </w:tcPr>
          <w:p>
            <w:pPr>
              <w:pStyle w:val="Normal"/>
              <w:spacing w:lineRule="auto" w:line="240" w:before="0" w:after="0"/>
              <w:rPr>
                <w:rFonts w:cs="Calibri" w:cstheme="minorHAnsi"/>
              </w:rPr>
            </w:pPr>
            <w:r>
              <w:rPr>
                <w:rFonts w:cs="Calibri" w:cstheme="minorHAnsi"/>
              </w:rPr>
            </w:r>
          </w:p>
        </w:tc>
        <w:tc>
          <w:tcPr>
            <w:tcW w:w="5102" w:type="dxa"/>
            <w:tcBorders/>
            <w:shd w:color="auto" w:fill="FFFFFF" w:themeFill="background1" w:val="clear"/>
          </w:tcPr>
          <w:p>
            <w:pPr>
              <w:pStyle w:val="Normal"/>
              <w:spacing w:lineRule="auto" w:line="240" w:before="0" w:after="0"/>
              <w:rPr>
                <w:rFonts w:cs="Calibri" w:cstheme="minorHAnsi"/>
              </w:rPr>
            </w:pPr>
            <w:r>
              <w:rPr>
                <w:rFonts w:cs="Calibri" w:cstheme="minorHAnsi"/>
              </w:rPr>
              <w:t>CCC suggestion that a cycle route plan is added to the plan is adopted.  Now policy B1 of the NP.</w:t>
            </w:r>
          </w:p>
        </w:tc>
      </w:tr>
      <w:tr>
        <w:trPr/>
        <w:tc>
          <w:tcPr>
            <w:tcW w:w="1700" w:type="dxa"/>
            <w:tcBorders/>
            <w:shd w:color="auto" w:fill="FFFFFF" w:themeFill="background1" w:val="clear"/>
          </w:tcPr>
          <w:p>
            <w:pPr>
              <w:pStyle w:val="Normal"/>
              <w:spacing w:lineRule="auto" w:line="240" w:before="0" w:after="0"/>
              <w:rPr/>
            </w:pPr>
            <w:r>
              <w:rPr/>
              <w:t>25 November 2016</w:t>
            </w:r>
          </w:p>
        </w:tc>
        <w:tc>
          <w:tcPr>
            <w:tcW w:w="1277" w:type="dxa"/>
            <w:tcBorders/>
            <w:shd w:color="auto" w:fill="FFFFFF" w:themeFill="background1" w:val="clear"/>
          </w:tcPr>
          <w:p>
            <w:pPr>
              <w:pStyle w:val="Normal"/>
              <w:spacing w:lineRule="auto" w:line="240" w:before="0" w:after="0"/>
              <w:rPr>
                <w:rFonts w:cs="Calibri" w:cstheme="minorHAnsi"/>
              </w:rPr>
            </w:pPr>
            <w:r>
              <w:rPr>
                <w:rFonts w:cs="Calibri" w:cstheme="minorHAnsi"/>
              </w:rPr>
              <w:t>√</w:t>
            </w:r>
          </w:p>
        </w:tc>
        <w:tc>
          <w:tcPr>
            <w:tcW w:w="2628" w:type="dxa"/>
            <w:tcBorders/>
            <w:shd w:color="auto" w:fill="FFFFFF" w:themeFill="background1" w:val="clear"/>
          </w:tcPr>
          <w:p>
            <w:pPr>
              <w:pStyle w:val="Normal"/>
              <w:spacing w:lineRule="auto" w:line="240" w:before="0" w:after="0"/>
              <w:rPr>
                <w:b/>
                <w:b/>
              </w:rPr>
            </w:pPr>
            <w:r>
              <w:rPr>
                <w:b/>
              </w:rPr>
            </w:r>
          </w:p>
        </w:tc>
        <w:tc>
          <w:tcPr>
            <w:tcW w:w="1424" w:type="dxa"/>
            <w:tcBorders/>
            <w:shd w:color="auto" w:fill="FFFFFF" w:themeFill="background1" w:val="clear"/>
          </w:tcPr>
          <w:p>
            <w:pPr>
              <w:pStyle w:val="Normal"/>
              <w:spacing w:lineRule="auto" w:line="240" w:before="0" w:after="0"/>
              <w:rPr>
                <w:rFonts w:cs="Calibri" w:cstheme="minorHAnsi"/>
              </w:rPr>
            </w:pPr>
            <w:r>
              <w:rPr>
                <w:rFonts w:cs="Calibri" w:cstheme="minorHAnsi"/>
              </w:rPr>
            </w:r>
          </w:p>
        </w:tc>
        <w:tc>
          <w:tcPr>
            <w:tcW w:w="1193" w:type="dxa"/>
            <w:tcBorders/>
            <w:shd w:color="auto" w:fill="FFFFFF" w:themeFill="background1" w:val="clear"/>
          </w:tcPr>
          <w:p>
            <w:pPr>
              <w:pStyle w:val="Normal"/>
              <w:spacing w:lineRule="auto" w:line="240" w:before="0" w:after="0"/>
              <w:rPr>
                <w:rFonts w:cs="Calibri" w:cstheme="minorHAnsi"/>
              </w:rPr>
            </w:pPr>
            <w:r>
              <w:rPr>
                <w:rFonts w:cs="Calibri" w:cstheme="minorHAnsi"/>
              </w:rPr>
            </w:r>
          </w:p>
        </w:tc>
        <w:tc>
          <w:tcPr>
            <w:tcW w:w="1134" w:type="dxa"/>
            <w:tcBorders/>
            <w:shd w:color="auto" w:fill="FFFFFF" w:themeFill="background1" w:val="clear"/>
          </w:tcPr>
          <w:p>
            <w:pPr>
              <w:pStyle w:val="Normal"/>
              <w:spacing w:lineRule="auto" w:line="240" w:before="0" w:after="0"/>
              <w:rPr>
                <w:rFonts w:cs="Calibri" w:cstheme="minorHAnsi"/>
              </w:rPr>
            </w:pPr>
            <w:r>
              <w:rPr>
                <w:rFonts w:cs="Calibri" w:cstheme="minorHAnsi"/>
              </w:rPr>
            </w:r>
          </w:p>
        </w:tc>
        <w:tc>
          <w:tcPr>
            <w:tcW w:w="5102" w:type="dxa"/>
            <w:tcBorders/>
            <w:shd w:color="auto" w:fill="FFFFFF" w:themeFill="background1" w:val="clear"/>
          </w:tcPr>
          <w:p>
            <w:pPr>
              <w:pStyle w:val="Normal"/>
              <w:spacing w:lineRule="auto" w:line="240" w:before="0" w:after="0"/>
              <w:rPr>
                <w:rFonts w:cs="Calibri" w:cstheme="minorHAnsi"/>
              </w:rPr>
            </w:pPr>
            <w:r>
              <w:rPr>
                <w:rFonts w:cs="Calibri" w:cstheme="minorHAnsi"/>
              </w:rPr>
              <w:t>Checklist of requests made by CCC in October 2016 and their implementation within the plan (19 of these in total covering all sections of the plan).</w:t>
            </w:r>
          </w:p>
        </w:tc>
      </w:tr>
      <w:tr>
        <w:trPr/>
        <w:tc>
          <w:tcPr>
            <w:tcW w:w="1700" w:type="dxa"/>
            <w:tcBorders/>
            <w:shd w:color="auto" w:fill="D0CECE" w:themeFill="background2" w:themeFillShade="e6" w:val="clear"/>
          </w:tcPr>
          <w:p>
            <w:pPr>
              <w:pStyle w:val="Normal"/>
              <w:spacing w:lineRule="auto" w:line="240" w:before="0" w:after="0"/>
              <w:rPr/>
            </w:pPr>
            <w:r>
              <w:rPr/>
              <w:t>December 2016</w:t>
            </w:r>
          </w:p>
        </w:tc>
        <w:tc>
          <w:tcPr>
            <w:tcW w:w="1277" w:type="dxa"/>
            <w:tcBorders/>
            <w:shd w:color="auto" w:fill="D0CECE" w:themeFill="background2" w:themeFillShade="e6" w:val="clear"/>
          </w:tcPr>
          <w:p>
            <w:pPr>
              <w:pStyle w:val="Normal"/>
              <w:spacing w:lineRule="auto" w:line="240" w:before="0" w:after="0"/>
              <w:rPr>
                <w:rFonts w:cs="Calibri" w:cstheme="minorHAnsi"/>
              </w:rPr>
            </w:pPr>
            <w:r>
              <w:rPr>
                <w:rFonts w:cs="Calibri" w:cstheme="minorHAnsi"/>
              </w:rPr>
            </w:r>
          </w:p>
        </w:tc>
        <w:tc>
          <w:tcPr>
            <w:tcW w:w="2628" w:type="dxa"/>
            <w:tcBorders/>
            <w:shd w:color="auto" w:fill="D0CECE" w:themeFill="background2" w:themeFillShade="e6" w:val="clear"/>
          </w:tcPr>
          <w:p>
            <w:pPr>
              <w:pStyle w:val="Normal"/>
              <w:spacing w:lineRule="auto" w:line="240" w:before="0" w:after="0"/>
              <w:rPr>
                <w:b/>
                <w:b/>
              </w:rPr>
            </w:pPr>
            <w:r>
              <w:rPr>
                <w:b/>
              </w:rPr>
              <w:t>Update to all villagers via the website on progress of the NP written by consultant Jim Boot-summarising work from June to December 2016</w:t>
            </w:r>
          </w:p>
        </w:tc>
        <w:tc>
          <w:tcPr>
            <w:tcW w:w="1424" w:type="dxa"/>
            <w:tcBorders/>
            <w:shd w:color="auto" w:fill="D0CECE" w:themeFill="background2" w:themeFillShade="e6" w:val="clear"/>
          </w:tcPr>
          <w:p>
            <w:pPr>
              <w:pStyle w:val="Normal"/>
              <w:spacing w:lineRule="auto" w:line="240" w:before="0" w:after="0"/>
              <w:rPr/>
            </w:pPr>
            <w:r>
              <w:rPr>
                <w:rFonts w:cs="Calibri" w:cstheme="minorHAnsi"/>
              </w:rPr>
              <w:t>√</w:t>
            </w:r>
          </w:p>
        </w:tc>
        <w:tc>
          <w:tcPr>
            <w:tcW w:w="1193" w:type="dxa"/>
            <w:tcBorders/>
            <w:shd w:color="auto" w:fill="D0CECE" w:themeFill="background2" w:themeFillShade="e6" w:val="clear"/>
          </w:tcPr>
          <w:p>
            <w:pPr>
              <w:pStyle w:val="Normal"/>
              <w:spacing w:lineRule="auto" w:line="240" w:before="0" w:after="0"/>
              <w:rPr>
                <w:rFonts w:cs="Calibri" w:cstheme="minorHAnsi"/>
              </w:rPr>
            </w:pPr>
            <w:r>
              <w:rPr>
                <w:rFonts w:cs="Calibri" w:cstheme="minorHAnsi"/>
              </w:rPr>
            </w:r>
          </w:p>
        </w:tc>
        <w:tc>
          <w:tcPr>
            <w:tcW w:w="1134" w:type="dxa"/>
            <w:tcBorders/>
            <w:shd w:color="auto" w:fill="D0CECE" w:themeFill="background2" w:themeFillShade="e6" w:val="clear"/>
          </w:tcPr>
          <w:p>
            <w:pPr>
              <w:pStyle w:val="Normal"/>
              <w:spacing w:lineRule="auto" w:line="240" w:before="0" w:after="0"/>
              <w:rPr>
                <w:rFonts w:cs="Calibri" w:cstheme="minorHAnsi"/>
              </w:rPr>
            </w:pPr>
            <w:r>
              <w:rPr>
                <w:rFonts w:cs="Calibri" w:cstheme="minorHAnsi"/>
              </w:rPr>
            </w:r>
          </w:p>
        </w:tc>
        <w:tc>
          <w:tcPr>
            <w:tcW w:w="5102" w:type="dxa"/>
            <w:tcBorders/>
            <w:shd w:color="auto" w:fill="D0CECE" w:themeFill="background2" w:themeFillShade="e6" w:val="clear"/>
          </w:tcPr>
          <w:p>
            <w:pPr>
              <w:pStyle w:val="Normal"/>
              <w:spacing w:lineRule="auto" w:line="240" w:before="0" w:after="0"/>
              <w:rPr>
                <w:rFonts w:cs="Calibri" w:cstheme="minorHAnsi"/>
              </w:rPr>
            </w:pPr>
            <w:r>
              <w:rPr>
                <w:rFonts w:cs="Calibri" w:cstheme="minorHAnsi"/>
              </w:rPr>
            </w:r>
          </w:p>
        </w:tc>
      </w:tr>
      <w:tr>
        <w:trPr/>
        <w:tc>
          <w:tcPr>
            <w:tcW w:w="1700" w:type="dxa"/>
            <w:tcBorders/>
            <w:shd w:color="auto" w:fill="D0CECE" w:themeFill="background2" w:themeFillShade="e6" w:val="clear"/>
          </w:tcPr>
          <w:p>
            <w:pPr>
              <w:pStyle w:val="Normal"/>
              <w:spacing w:lineRule="auto" w:line="240" w:before="0" w:after="0"/>
              <w:rPr/>
            </w:pPr>
            <w:r>
              <w:rPr/>
              <w:t>Dec 2016</w:t>
            </w:r>
          </w:p>
        </w:tc>
        <w:tc>
          <w:tcPr>
            <w:tcW w:w="1277" w:type="dxa"/>
            <w:tcBorders/>
            <w:shd w:color="auto" w:fill="D0CECE" w:themeFill="background2" w:themeFillShade="e6" w:val="clear"/>
          </w:tcPr>
          <w:p>
            <w:pPr>
              <w:pStyle w:val="Normal"/>
              <w:spacing w:lineRule="auto" w:line="240" w:before="0" w:after="0"/>
              <w:rPr>
                <w:rFonts w:cs="Calibri" w:cstheme="minorHAnsi"/>
              </w:rPr>
            </w:pPr>
            <w:r>
              <w:rPr>
                <w:rFonts w:cs="Calibri" w:cstheme="minorHAnsi"/>
              </w:rPr>
            </w:r>
          </w:p>
        </w:tc>
        <w:tc>
          <w:tcPr>
            <w:tcW w:w="2628" w:type="dxa"/>
            <w:tcBorders/>
            <w:shd w:color="auto" w:fill="D0CECE" w:themeFill="background2" w:themeFillShade="e6" w:val="clear"/>
          </w:tcPr>
          <w:p>
            <w:pPr>
              <w:pStyle w:val="Normal"/>
              <w:spacing w:lineRule="auto" w:line="240" w:before="0" w:after="0"/>
              <w:rPr>
                <w:b/>
                <w:b/>
              </w:rPr>
            </w:pPr>
            <w:r>
              <w:rPr>
                <w:b/>
              </w:rPr>
              <w:t>Met with CCC planners</w:t>
            </w:r>
          </w:p>
        </w:tc>
        <w:tc>
          <w:tcPr>
            <w:tcW w:w="1424" w:type="dxa"/>
            <w:tcBorders/>
            <w:shd w:color="auto" w:fill="D0CECE" w:themeFill="background2" w:themeFillShade="e6" w:val="clear"/>
          </w:tcPr>
          <w:p>
            <w:pPr>
              <w:pStyle w:val="Normal"/>
              <w:spacing w:lineRule="auto" w:line="240" w:before="0" w:after="0"/>
              <w:rPr>
                <w:rFonts w:cs="Calibri" w:cstheme="minorHAnsi"/>
              </w:rPr>
            </w:pPr>
            <w:r>
              <w:rPr>
                <w:rFonts w:cs="Calibri" w:cstheme="minorHAnsi"/>
              </w:rPr>
            </w:r>
          </w:p>
        </w:tc>
        <w:tc>
          <w:tcPr>
            <w:tcW w:w="1193" w:type="dxa"/>
            <w:tcBorders/>
            <w:shd w:color="auto" w:fill="D0CECE" w:themeFill="background2" w:themeFillShade="e6" w:val="clear"/>
          </w:tcPr>
          <w:p>
            <w:pPr>
              <w:pStyle w:val="Normal"/>
              <w:spacing w:lineRule="auto" w:line="240" w:before="0" w:after="0"/>
              <w:rPr>
                <w:rFonts w:cs="Calibri" w:cstheme="minorHAnsi"/>
              </w:rPr>
            </w:pPr>
            <w:r>
              <w:rPr>
                <w:rFonts w:cs="Calibri" w:cstheme="minorHAnsi"/>
              </w:rPr>
            </w:r>
          </w:p>
        </w:tc>
        <w:tc>
          <w:tcPr>
            <w:tcW w:w="1134" w:type="dxa"/>
            <w:tcBorders/>
            <w:shd w:color="auto" w:fill="D0CECE" w:themeFill="background2" w:themeFillShade="e6" w:val="clear"/>
          </w:tcPr>
          <w:p>
            <w:pPr>
              <w:pStyle w:val="Normal"/>
              <w:spacing w:lineRule="auto" w:line="240" w:before="0" w:after="0"/>
              <w:rPr>
                <w:rFonts w:cs="Calibri" w:cstheme="minorHAnsi"/>
              </w:rPr>
            </w:pPr>
            <w:r>
              <w:rPr>
                <w:rFonts w:cs="Calibri" w:cstheme="minorHAnsi"/>
              </w:rPr>
            </w:r>
          </w:p>
        </w:tc>
        <w:tc>
          <w:tcPr>
            <w:tcW w:w="5102" w:type="dxa"/>
            <w:tcBorders/>
            <w:shd w:color="auto" w:fill="D0CECE" w:themeFill="background2" w:themeFillShade="e6" w:val="clear"/>
          </w:tcPr>
          <w:p>
            <w:pPr>
              <w:pStyle w:val="Normal"/>
              <w:spacing w:lineRule="auto" w:line="240" w:before="0" w:after="0"/>
              <w:rPr>
                <w:rFonts w:cs="Calibri" w:cstheme="minorHAnsi"/>
              </w:rPr>
            </w:pPr>
            <w:r>
              <w:rPr>
                <w:rFonts w:cs="Calibri" w:cstheme="minorHAnsi"/>
              </w:rPr>
            </w:r>
          </w:p>
        </w:tc>
      </w:tr>
      <w:tr>
        <w:trPr/>
        <w:tc>
          <w:tcPr>
            <w:tcW w:w="1700" w:type="dxa"/>
            <w:tcBorders/>
            <w:shd w:fill="auto" w:val="clear"/>
          </w:tcPr>
          <w:p>
            <w:pPr>
              <w:pStyle w:val="Normal"/>
              <w:spacing w:lineRule="auto" w:line="240" w:before="0" w:after="0"/>
              <w:rPr>
                <w:b/>
                <w:b/>
              </w:rPr>
            </w:pPr>
            <w:r>
              <w:rPr>
                <w:b/>
              </w:rPr>
              <w:t>December 2016</w:t>
            </w:r>
          </w:p>
        </w:tc>
        <w:tc>
          <w:tcPr>
            <w:tcW w:w="1277" w:type="dxa"/>
            <w:tcBorders/>
            <w:shd w:fill="auto" w:val="clear"/>
          </w:tcPr>
          <w:p>
            <w:pPr>
              <w:pStyle w:val="Normal"/>
              <w:spacing w:lineRule="auto" w:line="240" w:before="0" w:after="0"/>
              <w:rPr>
                <w:rFonts w:cs="Calibri" w:cstheme="minorHAnsi"/>
                <w:b/>
                <w:b/>
              </w:rPr>
            </w:pPr>
            <w:r>
              <w:rPr>
                <w:rFonts w:cs="Calibri" w:cstheme="minorHAnsi"/>
                <w:b/>
              </w:rPr>
            </w:r>
          </w:p>
        </w:tc>
        <w:tc>
          <w:tcPr>
            <w:tcW w:w="2628" w:type="dxa"/>
            <w:tcBorders/>
            <w:shd w:fill="auto" w:val="clear"/>
          </w:tcPr>
          <w:p>
            <w:pPr>
              <w:pStyle w:val="Normal"/>
              <w:spacing w:lineRule="auto" w:line="240" w:before="0" w:after="0"/>
              <w:rPr>
                <w:b/>
                <w:b/>
              </w:rPr>
            </w:pPr>
            <w:r>
              <w:rPr>
                <w:b/>
              </w:rPr>
              <w:t>Health check with Claire Tester-published on the NP website</w:t>
            </w:r>
          </w:p>
        </w:tc>
        <w:tc>
          <w:tcPr>
            <w:tcW w:w="1424" w:type="dxa"/>
            <w:tcBorders/>
            <w:shd w:fill="auto" w:val="clear"/>
          </w:tcPr>
          <w:p>
            <w:pPr>
              <w:pStyle w:val="Normal"/>
              <w:spacing w:lineRule="auto" w:line="240" w:before="0" w:after="0"/>
              <w:rPr>
                <w:rFonts w:cs="Calibri" w:cstheme="minorHAnsi"/>
              </w:rPr>
            </w:pPr>
            <w:r>
              <w:rPr>
                <w:rFonts w:cs="Calibri" w:cstheme="minorHAnsi"/>
              </w:rPr>
              <w:t>√</w:t>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Housing allocations to be made within the NP-though a Strategic and Environmental assessment will be needed.  Clearer distinction made between policies and projects as a result of her comments and the use of different colours to denote policies and projects within the plan.</w:t>
            </w:r>
          </w:p>
        </w:tc>
      </w:tr>
      <w:tr>
        <w:trPr/>
        <w:tc>
          <w:tcPr>
            <w:tcW w:w="1700" w:type="dxa"/>
            <w:tcBorders/>
            <w:shd w:fill="auto" w:val="clear"/>
          </w:tcPr>
          <w:p>
            <w:pPr>
              <w:pStyle w:val="Normal"/>
              <w:spacing w:lineRule="auto" w:line="240" w:before="0" w:after="0"/>
              <w:rPr>
                <w:b/>
                <w:b/>
              </w:rPr>
            </w:pPr>
            <w:r>
              <w:rPr>
                <w:b/>
              </w:rPr>
              <w:t>6 Jan 2017</w:t>
            </w:r>
          </w:p>
        </w:tc>
        <w:tc>
          <w:tcPr>
            <w:tcW w:w="1277" w:type="dxa"/>
            <w:tcBorders/>
            <w:shd w:fill="auto" w:val="clear"/>
          </w:tcPr>
          <w:p>
            <w:pPr>
              <w:pStyle w:val="Normal"/>
              <w:spacing w:lineRule="auto" w:line="240" w:before="0" w:after="0"/>
              <w:rPr>
                <w:rFonts w:cs="Calibri" w:cstheme="minorHAnsi"/>
                <w:b/>
                <w:b/>
              </w:rPr>
            </w:pPr>
            <w:r>
              <w:rPr>
                <w:rFonts w:cs="Calibri" w:cstheme="minorHAnsi"/>
                <w:b/>
              </w:rPr>
              <w:t>Minutes of NPC</w:t>
            </w:r>
          </w:p>
        </w:tc>
        <w:tc>
          <w:tcPr>
            <w:tcW w:w="2628" w:type="dxa"/>
            <w:tcBorders/>
            <w:shd w:fill="auto" w:val="clear"/>
          </w:tcPr>
          <w:p>
            <w:pPr>
              <w:pStyle w:val="Normal"/>
              <w:spacing w:lineRule="auto" w:line="240" w:before="0" w:after="0"/>
              <w:rPr>
                <w:b/>
                <w:b/>
              </w:rPr>
            </w:pPr>
            <w:r>
              <w:rPr>
                <w:b/>
              </w:rPr>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Outlines new constitution of the Committee.  Brickfields site is no longer supported by inspector examining the CDLP.  He (Mr Moore) also announced that he would expect the emerging NP to determine where housing in Bridge should be located.</w:t>
            </w:r>
          </w:p>
        </w:tc>
      </w:tr>
      <w:tr>
        <w:trPr/>
        <w:tc>
          <w:tcPr>
            <w:tcW w:w="1700" w:type="dxa"/>
            <w:tcBorders/>
            <w:shd w:fill="auto" w:val="clear"/>
          </w:tcPr>
          <w:p>
            <w:pPr>
              <w:pStyle w:val="Normal"/>
              <w:spacing w:lineRule="auto" w:line="240" w:before="0" w:after="0"/>
              <w:rPr>
                <w:b/>
                <w:b/>
              </w:rPr>
            </w:pPr>
            <w:r>
              <w:rPr>
                <w:b/>
              </w:rPr>
              <w:t>w/c 9 January 2017</w:t>
            </w:r>
          </w:p>
        </w:tc>
        <w:tc>
          <w:tcPr>
            <w:tcW w:w="1277" w:type="dxa"/>
            <w:tcBorders/>
            <w:shd w:fill="auto" w:val="clear"/>
          </w:tcPr>
          <w:p>
            <w:pPr>
              <w:pStyle w:val="Normal"/>
              <w:spacing w:lineRule="auto" w:line="240" w:before="0" w:after="0"/>
              <w:rPr>
                <w:rFonts w:cs="Calibri" w:cstheme="minorHAnsi"/>
                <w:b/>
                <w:b/>
              </w:rPr>
            </w:pPr>
            <w:r>
              <w:rPr>
                <w:rFonts w:cs="Calibri" w:cstheme="minorHAnsi"/>
                <w:b/>
              </w:rPr>
            </w:r>
          </w:p>
        </w:tc>
        <w:tc>
          <w:tcPr>
            <w:tcW w:w="2628" w:type="dxa"/>
            <w:tcBorders/>
            <w:shd w:fill="auto" w:val="clear"/>
          </w:tcPr>
          <w:p>
            <w:pPr>
              <w:pStyle w:val="Normal"/>
              <w:spacing w:lineRule="auto" w:line="240" w:before="0" w:after="0"/>
              <w:rPr>
                <w:b/>
                <w:b/>
              </w:rPr>
            </w:pPr>
            <w:r>
              <w:rPr>
                <w:b/>
              </w:rPr>
              <w:t>Traffic survey conducted</w:t>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Results fed into the NP. (It now sits within the evidence section of the Plan).  Speed as recorded in the survey are well within the range of 20 mph as required by Kent Highways (as revealed in minutes of NPC dated 30 September 2016)</w:t>
            </w:r>
          </w:p>
        </w:tc>
      </w:tr>
      <w:tr>
        <w:trPr/>
        <w:tc>
          <w:tcPr>
            <w:tcW w:w="1700" w:type="dxa"/>
            <w:tcBorders/>
            <w:shd w:fill="auto" w:val="clear"/>
          </w:tcPr>
          <w:p>
            <w:pPr>
              <w:pStyle w:val="Normal"/>
              <w:spacing w:lineRule="auto" w:line="240" w:before="0" w:after="0"/>
              <w:rPr>
                <w:b/>
                <w:b/>
              </w:rPr>
            </w:pPr>
            <w:r>
              <w:rPr>
                <w:b/>
              </w:rPr>
              <w:t>12 January 2017</w:t>
            </w:r>
          </w:p>
        </w:tc>
        <w:tc>
          <w:tcPr>
            <w:tcW w:w="1277" w:type="dxa"/>
            <w:tcBorders/>
            <w:shd w:fill="auto" w:val="clear"/>
          </w:tcPr>
          <w:p>
            <w:pPr>
              <w:pStyle w:val="Normal"/>
              <w:spacing w:lineRule="auto" w:line="240" w:before="0" w:after="0"/>
              <w:rPr>
                <w:rFonts w:cs="Calibri" w:cstheme="minorHAnsi"/>
                <w:b/>
                <w:b/>
              </w:rPr>
            </w:pPr>
            <w:r>
              <w:rPr>
                <w:rFonts w:cs="Calibri" w:cstheme="minorHAnsi"/>
                <w:b/>
              </w:rPr>
            </w:r>
          </w:p>
        </w:tc>
        <w:tc>
          <w:tcPr>
            <w:tcW w:w="2628" w:type="dxa"/>
            <w:tcBorders/>
            <w:shd w:fill="auto" w:val="clear"/>
          </w:tcPr>
          <w:p>
            <w:pPr>
              <w:pStyle w:val="Normal"/>
              <w:spacing w:lineRule="auto" w:line="240" w:before="0" w:after="0"/>
              <w:rPr>
                <w:b/>
                <w:b/>
              </w:rPr>
            </w:pPr>
            <w:r>
              <w:rPr>
                <w:rFonts w:cs="Calibri" w:cstheme="minorHAnsi"/>
                <w:b/>
              </w:rPr>
              <w:t>Bridge Parish Council meeting</w:t>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i/>
                <w:i/>
              </w:rPr>
            </w:pPr>
            <w:r>
              <w:rPr>
                <w:rFonts w:cs="Calibri" w:cstheme="minorHAnsi"/>
                <w:i/>
              </w:rPr>
              <w:t>Minute 110/16-17 (11) sets out the new governance issues for the NPC-agreed to by all Parish Councillors present.</w:t>
            </w:r>
          </w:p>
        </w:tc>
      </w:tr>
      <w:tr>
        <w:trPr/>
        <w:tc>
          <w:tcPr>
            <w:tcW w:w="1700" w:type="dxa"/>
            <w:tcBorders/>
            <w:shd w:color="auto" w:fill="E7E6E6" w:themeFill="background2" w:val="clear"/>
          </w:tcPr>
          <w:p>
            <w:pPr>
              <w:pStyle w:val="Normal"/>
              <w:spacing w:lineRule="auto" w:line="240" w:before="0" w:after="0"/>
              <w:rPr>
                <w:b/>
                <w:b/>
              </w:rPr>
            </w:pPr>
            <w:r>
              <w:rPr>
                <w:b/>
              </w:rPr>
              <w:t>17 January 2017</w:t>
            </w:r>
          </w:p>
        </w:tc>
        <w:tc>
          <w:tcPr>
            <w:tcW w:w="1277" w:type="dxa"/>
            <w:tcBorders/>
            <w:shd w:color="auto" w:fill="E7E6E6" w:themeFill="background2" w:val="clear"/>
          </w:tcPr>
          <w:p>
            <w:pPr>
              <w:pStyle w:val="Normal"/>
              <w:spacing w:lineRule="auto" w:line="240" w:before="0" w:after="0"/>
              <w:rPr>
                <w:rFonts w:cs="Calibri" w:cstheme="minorHAnsi"/>
                <w:b/>
                <w:b/>
              </w:rPr>
            </w:pPr>
            <w:r>
              <w:rPr>
                <w:rFonts w:cs="Calibri" w:cstheme="minorHAnsi"/>
                <w:b/>
              </w:rPr>
              <w:t>Met with CCC planners</w:t>
            </w:r>
          </w:p>
        </w:tc>
        <w:tc>
          <w:tcPr>
            <w:tcW w:w="2628" w:type="dxa"/>
            <w:tcBorders/>
            <w:shd w:color="auto" w:fill="E7E6E6" w:themeFill="background2" w:val="clear"/>
          </w:tcPr>
          <w:p>
            <w:pPr>
              <w:pStyle w:val="Normal"/>
              <w:spacing w:lineRule="auto" w:line="240" w:before="0" w:after="0"/>
              <w:rPr>
                <w:b/>
                <w:b/>
              </w:rPr>
            </w:pPr>
            <w:r>
              <w:rPr>
                <w:b/>
              </w:rPr>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fill="auto" w:val="clear"/>
          </w:tcPr>
          <w:p>
            <w:pPr>
              <w:pStyle w:val="Normal"/>
              <w:spacing w:lineRule="auto" w:line="240" w:before="0" w:after="0"/>
              <w:rPr>
                <w:b/>
                <w:b/>
              </w:rPr>
            </w:pPr>
            <w:r>
              <w:rPr>
                <w:b/>
              </w:rPr>
              <w:t>20 January 2017</w:t>
            </w:r>
          </w:p>
        </w:tc>
        <w:tc>
          <w:tcPr>
            <w:tcW w:w="1277" w:type="dxa"/>
            <w:tcBorders/>
            <w:shd w:fill="auto" w:val="clear"/>
          </w:tcPr>
          <w:p>
            <w:pPr>
              <w:pStyle w:val="Normal"/>
              <w:spacing w:lineRule="auto" w:line="240" w:before="0" w:after="0"/>
              <w:rPr>
                <w:rFonts w:cs="Calibri" w:cstheme="minorHAnsi"/>
                <w:b/>
                <w:b/>
              </w:rPr>
            </w:pPr>
            <w:r>
              <w:rPr>
                <w:rFonts w:cs="Calibri" w:cstheme="minorHAnsi"/>
                <w:b/>
              </w:rPr>
            </w:r>
          </w:p>
        </w:tc>
        <w:tc>
          <w:tcPr>
            <w:tcW w:w="2628" w:type="dxa"/>
            <w:tcBorders/>
            <w:shd w:fill="auto" w:val="clear"/>
          </w:tcPr>
          <w:p>
            <w:pPr>
              <w:pStyle w:val="Normal"/>
              <w:spacing w:lineRule="auto" w:line="240" w:before="0" w:after="0"/>
              <w:rPr>
                <w:b/>
                <w:b/>
              </w:rPr>
            </w:pPr>
            <w:r>
              <w:rPr>
                <w:b/>
              </w:rPr>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NPC committee meeting decided to revise the employment section in the plan as a result of communication from Cantley about their plans for Great Pett Farm.</w:t>
            </w:r>
          </w:p>
        </w:tc>
      </w:tr>
      <w:tr>
        <w:trPr/>
        <w:tc>
          <w:tcPr>
            <w:tcW w:w="1700" w:type="dxa"/>
            <w:tcBorders/>
            <w:shd w:fill="auto" w:val="clear"/>
          </w:tcPr>
          <w:p>
            <w:pPr>
              <w:pStyle w:val="Normal"/>
              <w:spacing w:lineRule="auto" w:line="240" w:before="0" w:after="0"/>
              <w:rPr/>
            </w:pPr>
            <w:r>
              <w:rPr/>
              <w:t>21 January 2017</w:t>
            </w:r>
          </w:p>
        </w:tc>
        <w:tc>
          <w:tcPr>
            <w:tcW w:w="1277" w:type="dxa"/>
            <w:tcBorders/>
            <w:shd w:fill="auto" w:val="clear"/>
          </w:tcPr>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b/>
                <w:b/>
              </w:rPr>
            </w:pPr>
            <w:r>
              <w:rPr>
                <w:b/>
              </w:rPr>
              <w:t>Village hall consultation on green spaces</w:t>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 xml:space="preserve">Photos of 14 proposed green spaces were on display as well as a copy of the Tester Health Check report of December 2016 and the village design statement.  Draft 5 of the plan was also available.  </w:t>
            </w:r>
          </w:p>
        </w:tc>
      </w:tr>
      <w:tr>
        <w:trPr/>
        <w:tc>
          <w:tcPr>
            <w:tcW w:w="1700" w:type="dxa"/>
            <w:tcBorders/>
            <w:shd w:fill="auto" w:val="clear"/>
          </w:tcPr>
          <w:p>
            <w:pPr>
              <w:pStyle w:val="Normal"/>
              <w:spacing w:lineRule="auto" w:line="240" w:before="0" w:after="0"/>
              <w:rPr/>
            </w:pPr>
            <w:r>
              <w:rPr/>
              <w:t>24 Feb</w:t>
            </w:r>
          </w:p>
        </w:tc>
        <w:tc>
          <w:tcPr>
            <w:tcW w:w="1277" w:type="dxa"/>
            <w:tcBorders/>
            <w:shd w:fill="auto" w:val="clear"/>
          </w:tcPr>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b/>
                <w:b/>
              </w:rPr>
            </w:pPr>
            <w:r>
              <w:rPr>
                <w:b/>
              </w:rPr>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NPC meeting told that AECOM are likely to be employed and paid for by public grant to do the Strategic Environmental Assessment.  NPC is moving away from support for the Conyngham Lane site</w:t>
            </w:r>
          </w:p>
        </w:tc>
      </w:tr>
      <w:tr>
        <w:trPr/>
        <w:tc>
          <w:tcPr>
            <w:tcW w:w="1700" w:type="dxa"/>
            <w:tcBorders/>
            <w:shd w:fill="auto" w:val="clear"/>
          </w:tcPr>
          <w:p>
            <w:pPr>
              <w:pStyle w:val="Normal"/>
              <w:spacing w:lineRule="auto" w:line="240" w:before="0" w:after="0"/>
              <w:rPr/>
            </w:pPr>
            <w:r>
              <w:rPr/>
              <w:t>14 March 2017</w:t>
            </w:r>
          </w:p>
        </w:tc>
        <w:tc>
          <w:tcPr>
            <w:tcW w:w="1277" w:type="dxa"/>
            <w:tcBorders/>
            <w:shd w:fill="auto" w:val="clear"/>
          </w:tcPr>
          <w:p>
            <w:pPr>
              <w:pStyle w:val="Normal"/>
              <w:spacing w:lineRule="auto" w:line="240" w:before="0" w:after="0"/>
              <w:rPr>
                <w:rFonts w:cs="Calibri" w:cstheme="minorHAnsi"/>
              </w:rPr>
            </w:pPr>
            <w:r>
              <w:rPr>
                <w:rFonts w:cs="Calibri" w:cstheme="minorHAnsi"/>
                <w:b/>
              </w:rPr>
              <w:t>Met with CCC planners</w:t>
            </w:r>
          </w:p>
        </w:tc>
        <w:tc>
          <w:tcPr>
            <w:tcW w:w="2628" w:type="dxa"/>
            <w:tcBorders/>
            <w:shd w:fill="auto" w:val="clear"/>
          </w:tcPr>
          <w:p>
            <w:pPr>
              <w:pStyle w:val="Normal"/>
              <w:spacing w:lineRule="auto" w:line="240" w:before="0" w:after="0"/>
              <w:rPr>
                <w:b/>
                <w:b/>
              </w:rPr>
            </w:pPr>
            <w:r>
              <w:rPr>
                <w:b/>
              </w:rPr>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r>
          </w:p>
        </w:tc>
      </w:tr>
      <w:tr>
        <w:trPr/>
        <w:tc>
          <w:tcPr>
            <w:tcW w:w="1700" w:type="dxa"/>
            <w:tcBorders/>
            <w:shd w:fill="auto" w:val="clear"/>
          </w:tcPr>
          <w:p>
            <w:pPr>
              <w:pStyle w:val="Normal"/>
              <w:spacing w:lineRule="auto" w:line="240" w:before="0" w:after="0"/>
              <w:rPr/>
            </w:pPr>
            <w:r>
              <w:rPr/>
              <w:t>March and June</w:t>
            </w:r>
          </w:p>
        </w:tc>
        <w:tc>
          <w:tcPr>
            <w:tcW w:w="1277" w:type="dxa"/>
            <w:tcBorders/>
            <w:shd w:fill="auto" w:val="clear"/>
          </w:tcPr>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b/>
                <w:b/>
              </w:rPr>
            </w:pPr>
            <w:r>
              <w:rPr>
                <w:b/>
              </w:rPr>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NPC raises doubts about the proposed Conyngham Lane site.  No decision taken as such but Cantley proposals alter the whole issue. (see below August 2017)as did the adoption of the CDLP in July 2017 and the strategic policy referring to the green gap between Bridge and Canterbury</w:t>
            </w:r>
          </w:p>
        </w:tc>
      </w:tr>
      <w:tr>
        <w:trPr/>
        <w:tc>
          <w:tcPr>
            <w:tcW w:w="1700" w:type="dxa"/>
            <w:tcBorders/>
            <w:shd w:color="auto" w:fill="E7E6E6" w:themeFill="background2" w:val="clear"/>
          </w:tcPr>
          <w:p>
            <w:pPr>
              <w:pStyle w:val="Normal"/>
              <w:spacing w:lineRule="auto" w:line="240" w:before="0" w:after="0"/>
              <w:rPr/>
            </w:pPr>
            <w:r>
              <w:rPr/>
              <w:t>27 April 2017</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2628" w:type="dxa"/>
            <w:tcBorders/>
            <w:shd w:color="auto" w:fill="E7E6E6" w:themeFill="background2" w:val="clear"/>
          </w:tcPr>
          <w:p>
            <w:pPr>
              <w:pStyle w:val="Normal"/>
              <w:spacing w:lineRule="auto" w:line="240" w:before="0" w:after="0"/>
              <w:rPr/>
            </w:pPr>
            <w:r>
              <w:rPr/>
              <w:t>Annual Parish Meeting-feedback given on NP.</w:t>
            </w:r>
          </w:p>
        </w:tc>
        <w:tc>
          <w:tcPr>
            <w:tcW w:w="1424" w:type="dxa"/>
            <w:tcBorders/>
            <w:shd w:color="auto" w:fill="E7E6E6" w:themeFill="background2" w:val="clear"/>
          </w:tcPr>
          <w:p>
            <w:pPr>
              <w:pStyle w:val="Normal"/>
              <w:spacing w:lineRule="auto" w:line="240" w:before="0" w:after="0"/>
              <w:rPr/>
            </w:pPr>
            <w:r>
              <w:rPr>
                <w:rFonts w:cs="Calibri" w:cstheme="minorHAnsi"/>
              </w:rPr>
              <w:t>√</w:t>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fill="auto" w:val="clear"/>
          </w:tcPr>
          <w:p>
            <w:pPr>
              <w:pStyle w:val="Normal"/>
              <w:spacing w:lineRule="auto" w:line="240" w:before="0" w:after="0"/>
              <w:rPr/>
            </w:pPr>
            <w:r>
              <w:rPr/>
              <w:t>April 2017</w:t>
            </w:r>
          </w:p>
        </w:tc>
        <w:tc>
          <w:tcPr>
            <w:tcW w:w="1277" w:type="dxa"/>
            <w:tcBorders/>
            <w:shd w:fill="auto" w:val="clear"/>
          </w:tcPr>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pPr>
            <w:r>
              <w:rPr/>
              <w:t>Further advice received from Claire Tester re the NP</w:t>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 xml:space="preserve">Her advice to conduct site assessments for the housing sites becomes part of the AECOM SEA report.  </w:t>
            </w:r>
          </w:p>
        </w:tc>
      </w:tr>
      <w:tr>
        <w:trPr/>
        <w:tc>
          <w:tcPr>
            <w:tcW w:w="1700" w:type="dxa"/>
            <w:tcBorders/>
            <w:shd w:color="auto" w:fill="E7E6E6" w:themeFill="background2" w:val="clear"/>
          </w:tcPr>
          <w:p>
            <w:pPr>
              <w:pStyle w:val="Normal"/>
              <w:spacing w:lineRule="auto" w:line="240" w:before="0" w:after="0"/>
              <w:rPr/>
            </w:pPr>
            <w:r>
              <w:rPr/>
              <w:t>23 May 2017</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b/>
              </w:rPr>
              <w:t>Met with CCC planners</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color="auto" w:fill="E7E6E6" w:themeFill="background2" w:val="clear"/>
          </w:tcPr>
          <w:p>
            <w:pPr>
              <w:pStyle w:val="Normal"/>
              <w:spacing w:lineRule="auto" w:line="240" w:before="0" w:after="0"/>
              <w:jc w:val="center"/>
              <w:rPr/>
            </w:pPr>
            <w:r>
              <w:rPr/>
              <w:t>26 May 2017</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2628" w:type="dxa"/>
            <w:tcBorders/>
            <w:shd w:color="auto" w:fill="E7E6E6" w:themeFill="background2" w:val="clear"/>
          </w:tcPr>
          <w:p>
            <w:pPr>
              <w:pStyle w:val="Normal"/>
              <w:spacing w:lineRule="auto" w:line="240" w:before="0" w:after="0"/>
              <w:rPr/>
            </w:pPr>
            <w:r>
              <w:rPr/>
              <w:t>First meeting of reconstituted NP Committee</w:t>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fill="auto" w:val="clear"/>
          </w:tcPr>
          <w:p>
            <w:pPr>
              <w:pStyle w:val="Normal"/>
              <w:spacing w:lineRule="auto" w:line="240" w:before="0" w:after="0"/>
              <w:rPr/>
            </w:pPr>
            <w:r>
              <w:rPr/>
              <w:t>June 2017</w:t>
            </w:r>
          </w:p>
        </w:tc>
        <w:tc>
          <w:tcPr>
            <w:tcW w:w="1277" w:type="dxa"/>
            <w:tcBorders/>
            <w:shd w:fill="auto" w:val="clear"/>
          </w:tcPr>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pPr>
            <w:r>
              <w:rPr/>
              <w:t>Housing needs survey distributed to all households</w:t>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Results fed directly into the NP as Appendix C</w:t>
            </w:r>
          </w:p>
        </w:tc>
      </w:tr>
      <w:tr>
        <w:trPr/>
        <w:tc>
          <w:tcPr>
            <w:tcW w:w="1700" w:type="dxa"/>
            <w:tcBorders/>
            <w:shd w:fill="auto" w:val="clear"/>
          </w:tcPr>
          <w:p>
            <w:pPr>
              <w:pStyle w:val="Normal"/>
              <w:spacing w:lineRule="auto" w:line="240" w:before="0" w:after="0"/>
              <w:rPr/>
            </w:pPr>
            <w:r>
              <w:rPr/>
              <w:t>13 July 2017</w:t>
            </w:r>
          </w:p>
        </w:tc>
        <w:tc>
          <w:tcPr>
            <w:tcW w:w="1277" w:type="dxa"/>
            <w:tcBorders/>
            <w:shd w:fill="auto" w:val="clear"/>
          </w:tcPr>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pPr>
            <w:r>
              <w:rPr/>
              <w:t>Canterbury City Council adopts its local plan</w:t>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Green gap is now confirmed in the CDLP.  Proposals for housing in Conyngham Lane do not conform.</w:t>
            </w:r>
          </w:p>
        </w:tc>
      </w:tr>
      <w:tr>
        <w:trPr/>
        <w:tc>
          <w:tcPr>
            <w:tcW w:w="1700" w:type="dxa"/>
            <w:tcBorders/>
            <w:shd w:fill="auto" w:val="clear"/>
          </w:tcPr>
          <w:p>
            <w:pPr>
              <w:pStyle w:val="Normal"/>
              <w:spacing w:lineRule="auto" w:line="240" w:before="0" w:after="0"/>
              <w:rPr/>
            </w:pPr>
            <w:r>
              <w:rPr/>
              <w:t>August 2017</w:t>
            </w:r>
          </w:p>
        </w:tc>
        <w:tc>
          <w:tcPr>
            <w:tcW w:w="1277" w:type="dxa"/>
            <w:tcBorders/>
            <w:shd w:fill="auto" w:val="clear"/>
          </w:tcPr>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pPr>
            <w:r>
              <w:rPr/>
              <w:t xml:space="preserve">Cantley withdraw housing site in Conyngham Lane and propose site as shown in Appendix F </w:t>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Adopted into the plan as Appendix F-along with suggested sites for village hall.</w:t>
            </w:r>
          </w:p>
        </w:tc>
      </w:tr>
      <w:tr>
        <w:trPr/>
        <w:tc>
          <w:tcPr>
            <w:tcW w:w="1700" w:type="dxa"/>
            <w:tcBorders/>
            <w:shd w:color="auto" w:fill="E7E6E6" w:themeFill="background2" w:val="clear"/>
          </w:tcPr>
          <w:p>
            <w:pPr>
              <w:pStyle w:val="Normal"/>
              <w:spacing w:lineRule="auto" w:line="240" w:before="0" w:after="0"/>
              <w:rPr/>
            </w:pPr>
            <w:r>
              <w:rPr/>
              <w:t>4 October 2017</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b/>
              </w:rPr>
              <w:t>Met with CCC planners</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color="auto" w:fill="E7E6E6" w:themeFill="background2" w:val="clear"/>
          </w:tcPr>
          <w:p>
            <w:pPr>
              <w:pStyle w:val="Normal"/>
              <w:spacing w:lineRule="auto" w:line="240" w:before="0" w:after="0"/>
              <w:rPr/>
            </w:pPr>
            <w:r>
              <w:rPr/>
              <w:t>15 January 2018</w:t>
            </w:r>
          </w:p>
        </w:tc>
        <w:tc>
          <w:tcPr>
            <w:tcW w:w="1277" w:type="dxa"/>
            <w:tcBorders/>
            <w:shd w:color="auto" w:fill="E7E6E6" w:themeFill="background2" w:val="clear"/>
          </w:tcPr>
          <w:p>
            <w:pPr>
              <w:pStyle w:val="Normal"/>
              <w:spacing w:lineRule="auto" w:line="240" w:before="0" w:after="0"/>
              <w:rPr>
                <w:rFonts w:cs="Calibri" w:cstheme="minorHAnsi"/>
                <w:b/>
                <w:b/>
              </w:rPr>
            </w:pPr>
            <w:r>
              <w:rPr>
                <w:rFonts w:cs="Calibri" w:cstheme="minorHAnsi"/>
                <w:b/>
              </w:rPr>
              <w:t>Met with CCC planners</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fill="auto" w:val="clear"/>
          </w:tcPr>
          <w:p>
            <w:pPr>
              <w:pStyle w:val="Normal"/>
              <w:spacing w:lineRule="auto" w:line="240" w:before="0" w:after="0"/>
              <w:rPr/>
            </w:pPr>
            <w:r>
              <w:rPr/>
              <w:t>Feb 2018</w:t>
            </w:r>
          </w:p>
        </w:tc>
        <w:tc>
          <w:tcPr>
            <w:tcW w:w="1277" w:type="dxa"/>
            <w:tcBorders/>
            <w:shd w:fill="auto" w:val="clear"/>
          </w:tcPr>
          <w:p>
            <w:pPr>
              <w:pStyle w:val="Normal"/>
              <w:spacing w:lineRule="auto" w:line="240" w:before="0" w:after="0"/>
              <w:rPr>
                <w:rFonts w:cs="Calibri" w:cstheme="minorHAnsi"/>
                <w:b/>
                <w:b/>
              </w:rPr>
            </w:pPr>
            <w:r>
              <w:rPr>
                <w:rFonts w:cs="Calibri" w:cstheme="minorHAnsi"/>
                <w:b/>
              </w:rPr>
            </w:r>
          </w:p>
        </w:tc>
        <w:tc>
          <w:tcPr>
            <w:tcW w:w="2628" w:type="dxa"/>
            <w:tcBorders/>
            <w:shd w:fill="auto" w:val="clear"/>
          </w:tcPr>
          <w:p>
            <w:pPr>
              <w:pStyle w:val="Normal"/>
              <w:spacing w:lineRule="auto" w:line="240" w:before="0" w:after="0"/>
              <w:rPr/>
            </w:pPr>
            <w:r>
              <w:rPr/>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i/>
                <w:i/>
              </w:rPr>
            </w:pPr>
            <w:r>
              <w:rPr>
                <w:rFonts w:cs="Calibri" w:cstheme="minorHAnsi"/>
                <w:i/>
              </w:rPr>
              <w:t>Aecom produce updated version of their Strategic Environmental Assessment for Regulation 14 consultation.</w:t>
            </w:r>
          </w:p>
        </w:tc>
      </w:tr>
      <w:tr>
        <w:trPr/>
        <w:tc>
          <w:tcPr>
            <w:tcW w:w="1700" w:type="dxa"/>
            <w:tcBorders/>
            <w:shd w:fill="auto" w:val="clear"/>
          </w:tcPr>
          <w:p>
            <w:pPr>
              <w:pStyle w:val="Normal"/>
              <w:spacing w:lineRule="auto" w:line="240" w:before="0" w:after="0"/>
              <w:rPr/>
            </w:pPr>
            <w:r>
              <w:rPr/>
              <w:t>Feb-April 2018</w:t>
            </w:r>
          </w:p>
          <w:p>
            <w:pPr>
              <w:pStyle w:val="Normal"/>
              <w:spacing w:lineRule="auto" w:line="240" w:before="0" w:after="0"/>
              <w:rPr/>
            </w:pPr>
            <w:r>
              <w:rPr/>
            </w:r>
          </w:p>
          <w:p>
            <w:pPr>
              <w:pStyle w:val="Normal"/>
              <w:spacing w:lineRule="auto" w:line="240" w:before="0" w:after="0"/>
              <w:rPr/>
            </w:pPr>
            <w:r>
              <w:rPr/>
            </w:r>
          </w:p>
          <w:p>
            <w:pPr>
              <w:pStyle w:val="Normal"/>
              <w:spacing w:lineRule="auto" w:line="240" w:before="0" w:after="0"/>
              <w:rPr/>
            </w:pPr>
            <w:r>
              <w:rPr/>
            </w:r>
          </w:p>
          <w:p>
            <w:pPr>
              <w:pStyle w:val="Normal"/>
              <w:spacing w:lineRule="auto" w:line="240" w:before="0" w:after="0"/>
              <w:rPr/>
            </w:pPr>
            <w:r>
              <w:rPr/>
            </w:r>
          </w:p>
          <w:p>
            <w:pPr>
              <w:pStyle w:val="Normal"/>
              <w:spacing w:lineRule="auto" w:line="240" w:before="0" w:after="0"/>
              <w:rPr/>
            </w:pPr>
            <w:r>
              <w:rPr/>
            </w:r>
          </w:p>
          <w:p>
            <w:pPr>
              <w:pStyle w:val="Normal"/>
              <w:spacing w:lineRule="auto" w:line="240" w:before="0" w:after="0"/>
              <w:rPr/>
            </w:pPr>
            <w:r>
              <w:rPr/>
              <w:t xml:space="preserve">2 public exhibitions were held on Sunday 18 March 2-5 p.m. and Saturday 7 April 5-8 p.m. in the village hall- villagers could gain more information about the consultation plan from members of the committee.  </w:t>
            </w:r>
          </w:p>
        </w:tc>
        <w:tc>
          <w:tcPr>
            <w:tcW w:w="1277" w:type="dxa"/>
            <w:tcBorders/>
            <w:shd w:fill="auto" w:val="clear"/>
          </w:tcPr>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ascii="Courier New" w:hAnsi="Courier New" w:eastAsia="Times New Roman" w:cs="Courier New"/>
                <w:sz w:val="20"/>
                <w:szCs w:val="20"/>
                <w:lang w:eastAsia="en-GB"/>
              </w:rPr>
            </w:pPr>
            <w:r>
              <w:rPr>
                <w:rFonts w:eastAsia="Times New Roman" w:cs="Courier New" w:ascii="Courier New" w:hAnsi="Courier New"/>
                <w:sz w:val="20"/>
                <w:szCs w:val="20"/>
                <w:lang w:eastAsia="en-GB"/>
              </w:rPr>
              <w:t>.</w:t>
            </w:r>
          </w:p>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pPr>
            <w:r>
              <w:rPr/>
              <w:t>Regulation 14 consultation</w:t>
            </w:r>
          </w:p>
          <w:p>
            <w:pPr>
              <w:pStyle w:val="Normal"/>
              <w:spacing w:lineRule="auto" w:line="240" w:before="0" w:after="0"/>
              <w:rPr/>
            </w:pPr>
            <w:r>
              <w:rPr/>
            </w:r>
          </w:p>
          <w:p>
            <w:pPr>
              <w:pStyle w:val="Normal"/>
              <w:spacing w:lineRule="auto" w:line="240" w:before="0" w:after="0"/>
              <w:rPr/>
            </w:pPr>
            <w:r>
              <w:rPr/>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eastAsia="Times New Roman" w:cs="Calibri" w:cstheme="minorHAnsi"/>
                <w:lang w:eastAsia="en-GB"/>
              </w:rPr>
            </w:pPr>
            <w:r>
              <w:rPr>
                <w:rFonts w:eastAsia="Times New Roman" w:cs="Calibri" w:cstheme="minorHAnsi"/>
                <w:lang w:eastAsia="en-GB"/>
              </w:rPr>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eastAsia="Times New Roman" w:cs="Calibri" w:cstheme="minorHAnsi"/>
                <w:lang w:eastAsia="en-GB"/>
              </w:rPr>
            </w:pPr>
            <w:r>
              <w:rPr>
                <w:rFonts w:eastAsia="Times New Roman" w:cs="Calibri" w:cstheme="minorHAnsi"/>
                <w:lang w:eastAsia="en-GB"/>
              </w:rPr>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eastAsia="Times New Roman" w:cs="Calibri" w:cstheme="minorHAnsi"/>
                <w:lang w:eastAsia="en-GB"/>
              </w:rPr>
            </w:pPr>
            <w:r>
              <w:rPr>
                <w:rFonts w:eastAsia="Times New Roman" w:cs="Calibri" w:cstheme="minorHAnsi"/>
                <w:lang w:eastAsia="en-GB"/>
              </w:rPr>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eastAsia="Times New Roman" w:cs="Calibri" w:cstheme="minorHAnsi"/>
                <w:lang w:eastAsia="en-GB"/>
              </w:rPr>
            </w:pPr>
            <w:r>
              <w:rPr>
                <w:rFonts w:eastAsia="Times New Roman" w:cs="Calibri" w:cstheme="minorHAnsi"/>
                <w:lang w:eastAsia="en-GB"/>
              </w:rPr>
              <w:t>Printed copies of  the NP, the consultation response form and the appendices were available.</w:t>
            </w:r>
          </w:p>
          <w:p>
            <w:pPr>
              <w:pStyle w:val="Normal"/>
              <w:tabs>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rPr>
                <w:rFonts w:eastAsia="Times New Roman" w:cs="Calibri" w:cstheme="minorHAnsi"/>
                <w:lang w:eastAsia="en-GB"/>
              </w:rPr>
            </w:pPr>
            <w:r>
              <w:rPr>
                <w:rFonts w:eastAsia="Times New Roman" w:cs="Calibri" w:cstheme="minorHAnsi"/>
                <w:lang w:eastAsia="en-GB"/>
              </w:rPr>
              <w:br/>
              <w:t>Events advertised on village website, social media and noticeboards.</w:t>
            </w:r>
          </w:p>
          <w:p>
            <w:pPr>
              <w:pStyle w:val="Normal"/>
              <w:spacing w:lineRule="auto" w:line="240" w:before="0" w:after="0"/>
              <w:rPr/>
            </w:pPr>
            <w:r>
              <w:rPr/>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t>50 or so comments received</w:t>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r>
          </w:p>
          <w:p>
            <w:pPr>
              <w:pStyle w:val="Normal"/>
              <w:spacing w:lineRule="auto" w:line="240" w:before="0" w:after="0"/>
              <w:rPr>
                <w:rFonts w:cs="Calibri" w:cstheme="minorHAnsi"/>
              </w:rPr>
            </w:pPr>
            <w:r>
              <w:rPr>
                <w:rFonts w:cs="Calibri" w:cstheme="minorHAnsi"/>
              </w:rPr>
              <w:t>28 villagers attended over both days.</w:t>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jc w:val="both"/>
              <w:rPr>
                <w:rFonts w:ascii="Calibri" w:hAnsi="Calibri" w:cs="Calibri"/>
              </w:rPr>
            </w:pPr>
            <w:r>
              <w:rPr>
                <w:rFonts w:cs="Calibri"/>
              </w:rPr>
              <w:t>According to CCC the Basic Conditions statement is “sufficiently thorough”.</w:t>
            </w:r>
          </w:p>
          <w:p>
            <w:pPr>
              <w:pStyle w:val="Normal"/>
              <w:spacing w:lineRule="auto" w:line="240" w:before="0" w:after="0"/>
              <w:jc w:val="both"/>
              <w:rPr>
                <w:rFonts w:ascii="Calibri" w:hAnsi="Calibri" w:cs="Calibri"/>
              </w:rPr>
            </w:pPr>
            <w:r>
              <w:rPr>
                <w:rFonts w:cs="Calibri"/>
              </w:rPr>
            </w:r>
          </w:p>
          <w:p>
            <w:pPr>
              <w:pStyle w:val="Normal"/>
              <w:spacing w:lineRule="auto" w:line="240" w:before="0" w:after="0"/>
              <w:rPr>
                <w:rFonts w:cs="Calibri" w:cstheme="minorHAnsi"/>
              </w:rPr>
            </w:pPr>
            <w:r>
              <w:rPr>
                <w:rFonts w:cs="Calibri" w:cstheme="minorHAnsi"/>
              </w:rPr>
              <w:t>The regulation 14 consultation responses document is available here</w:t>
            </w:r>
          </w:p>
          <w:p>
            <w:pPr>
              <w:pStyle w:val="Normal"/>
              <w:spacing w:lineRule="auto" w:line="240" w:before="0" w:after="0"/>
              <w:rPr>
                <w:rFonts w:cs="Calibri" w:cstheme="minorHAnsi"/>
              </w:rPr>
            </w:pPr>
            <w:r>
              <w:rPr>
                <w:rFonts w:cs="Calibri" w:cstheme="minorHAnsi"/>
              </w:rPr>
            </w:r>
          </w:p>
          <w:p>
            <w:pPr>
              <w:pStyle w:val="Normal"/>
              <w:spacing w:lineRule="auto" w:line="240" w:before="0" w:after="0"/>
              <w:rPr/>
            </w:pPr>
            <w:hyperlink r:id="rId6">
              <w:r>
                <w:rPr>
                  <w:rStyle w:val="InternetLink"/>
                  <w:b/>
                </w:rPr>
                <w:t>www.bridgevillage.org.uk/NHP/index.asp</w:t>
              </w:r>
            </w:hyperlink>
          </w:p>
          <w:p>
            <w:pPr>
              <w:pStyle w:val="Normal"/>
              <w:spacing w:lineRule="auto" w:line="240" w:before="0" w:after="0"/>
              <w:rPr>
                <w:b/>
                <w:b/>
              </w:rPr>
            </w:pPr>
            <w:r>
              <w:rPr>
                <w:b/>
              </w:rPr>
            </w:r>
          </w:p>
          <w:p>
            <w:pPr>
              <w:pStyle w:val="Normal"/>
              <w:spacing w:lineRule="auto" w:line="240" w:before="0" w:after="0"/>
              <w:rPr>
                <w:b/>
                <w:b/>
              </w:rPr>
            </w:pPr>
            <w:r>
              <w:rPr>
                <w:b/>
              </w:rPr>
              <w:t xml:space="preserve">Go to “documents” and click on </w:t>
            </w:r>
          </w:p>
          <w:p>
            <w:pPr>
              <w:pStyle w:val="Normal"/>
              <w:spacing w:lineRule="auto" w:line="240" w:before="0" w:after="0"/>
              <w:rPr>
                <w:b/>
                <w:b/>
              </w:rPr>
            </w:pPr>
            <w:r>
              <w:rPr/>
              <w:t>“”</w:t>
            </w:r>
            <w:r>
              <w:rPr>
                <w:rFonts w:cs="Arial" w:ascii="Arial" w:hAnsi="Arial"/>
                <w:color w:val="000000"/>
                <w:sz w:val="23"/>
                <w:szCs w:val="23"/>
                <w:u w:val="single"/>
              </w:rPr>
              <w:t xml:space="preserve">NPC Reports &amp; papers.” </w:t>
            </w:r>
            <w:r>
              <w:rPr/>
              <w:t xml:space="preserve"> and then open the file entitled “2018 06”</w:t>
            </w:r>
          </w:p>
          <w:p>
            <w:pPr>
              <w:pStyle w:val="Normal"/>
              <w:spacing w:lineRule="auto" w:line="240" w:before="0" w:after="0"/>
              <w:rPr>
                <w:rFonts w:ascii="Calibri" w:hAnsi="Calibri" w:cs="Calibri"/>
              </w:rPr>
            </w:pPr>
            <w:r>
              <w:rPr>
                <w:rFonts w:cs="Calibri"/>
              </w:rPr>
            </w:r>
          </w:p>
          <w:p>
            <w:pPr>
              <w:pStyle w:val="Normal"/>
              <w:spacing w:lineRule="auto" w:line="240" w:before="0" w:after="0"/>
              <w:rPr>
                <w:rFonts w:ascii="Calibri" w:hAnsi="Calibri" w:cs="Calibri"/>
              </w:rPr>
            </w:pPr>
            <w:r>
              <w:rPr>
                <w:rFonts w:cs="Calibri"/>
              </w:rPr>
              <w:t>At its meeting on 8 May 2018 the committee agreed revisions to the plan as a result of the Regulation 14 consultation.  The NPC worked through all the changes to the plan line by line.  They were very minor and of no consequence to the Plan since those who agreed or strongly agreed with all aspects of the plan were in a clear majority in all of the responses.</w:t>
            </w:r>
          </w:p>
          <w:p>
            <w:pPr>
              <w:pStyle w:val="Normal"/>
              <w:spacing w:lineRule="auto" w:line="240" w:before="0" w:after="0"/>
              <w:rPr>
                <w:rFonts w:ascii="Calibri" w:hAnsi="Calibri" w:cs="Calibri"/>
              </w:rPr>
            </w:pPr>
            <w:r>
              <w:rPr>
                <w:rFonts w:cs="Calibri"/>
              </w:rPr>
            </w:r>
          </w:p>
        </w:tc>
      </w:tr>
      <w:tr>
        <w:trPr/>
        <w:tc>
          <w:tcPr>
            <w:tcW w:w="1700" w:type="dxa"/>
            <w:tcBorders/>
            <w:shd w:fill="auto" w:val="clear"/>
          </w:tcPr>
          <w:p>
            <w:pPr>
              <w:pStyle w:val="Normal"/>
              <w:spacing w:lineRule="auto" w:line="240" w:before="0" w:after="0"/>
              <w:rPr/>
            </w:pPr>
            <w:r>
              <w:rPr/>
              <w:t>3 May 2018</w:t>
            </w:r>
          </w:p>
        </w:tc>
        <w:tc>
          <w:tcPr>
            <w:tcW w:w="1277" w:type="dxa"/>
            <w:tcBorders/>
            <w:shd w:fill="auto" w:val="clear"/>
          </w:tcPr>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rFonts w:cs="Calibri" w:cstheme="minorHAnsi"/>
              </w:rPr>
            </w:pPr>
            <w:r>
              <w:rPr>
                <w:rFonts w:cs="Calibri" w:cstheme="minorHAnsi"/>
                <w:lang w:eastAsia="en-GB"/>
              </w:rPr>
              <w:t xml:space="preserve">2 CCC planners walked the village with members of the committee to review the proposed green spaces.  </w:t>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jc w:val="both"/>
              <w:rPr>
                <w:rFonts w:cs="Calibri" w:cstheme="minorHAnsi"/>
              </w:rPr>
            </w:pPr>
            <w:r>
              <w:rPr>
                <w:rFonts w:cs="Calibri" w:cstheme="minorHAnsi"/>
              </w:rPr>
              <w:t>Suggestions from the CCC planners were adopted to reduce the number of green spaces to include only those now contained within the regulation 16 2018 version of the NP (reduced from the 12 potential green spaces outlined in the NPC meeting of 28 October 2016)</w:t>
            </w:r>
          </w:p>
        </w:tc>
      </w:tr>
      <w:tr>
        <w:trPr/>
        <w:tc>
          <w:tcPr>
            <w:tcW w:w="1700" w:type="dxa"/>
            <w:tcBorders/>
            <w:shd w:color="auto" w:fill="E7E6E6" w:themeFill="background2" w:val="clear"/>
          </w:tcPr>
          <w:p>
            <w:pPr>
              <w:pStyle w:val="Normal"/>
              <w:spacing w:lineRule="auto" w:line="240" w:before="0" w:after="0"/>
              <w:rPr/>
            </w:pPr>
            <w:r>
              <w:rPr/>
              <w:t>8 May 2018</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rFonts w:cs="Calibri" w:cstheme="minorHAnsi"/>
                <w:lang w:eastAsia="en-GB"/>
              </w:rPr>
            </w:pPr>
            <w:r>
              <w:rPr>
                <w:rFonts w:cs="Calibri" w:cstheme="minorHAnsi"/>
                <w:lang w:eastAsia="en-GB"/>
              </w:rPr>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jc w:val="both"/>
              <w:rPr>
                <w:rFonts w:cs="Calibri" w:cstheme="minorHAnsi"/>
              </w:rPr>
            </w:pPr>
            <w:r>
              <w:rPr>
                <w:rFonts w:cs="Calibri" w:cstheme="minorHAnsi"/>
              </w:rPr>
            </w:r>
          </w:p>
        </w:tc>
      </w:tr>
      <w:tr>
        <w:trPr/>
        <w:tc>
          <w:tcPr>
            <w:tcW w:w="1700" w:type="dxa"/>
            <w:tcBorders/>
            <w:shd w:color="auto" w:fill="E7E6E6" w:themeFill="background2" w:val="clear"/>
          </w:tcPr>
          <w:p>
            <w:pPr>
              <w:pStyle w:val="Normal"/>
              <w:spacing w:lineRule="auto" w:line="240" w:before="0" w:after="0"/>
              <w:rPr/>
            </w:pPr>
            <w:r>
              <w:rPr/>
              <w:t>10 May 2018</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2628" w:type="dxa"/>
            <w:tcBorders/>
            <w:shd w:color="auto" w:fill="E7E6E6" w:themeFill="background2" w:val="clear"/>
          </w:tcPr>
          <w:p>
            <w:pPr>
              <w:pStyle w:val="Normal"/>
              <w:spacing w:lineRule="auto" w:line="240" w:before="0" w:after="0"/>
              <w:rPr/>
            </w:pPr>
            <w:r>
              <w:rPr/>
              <w:t>Parish council voted to adopt fully the regulation 15 version of the plan.</w:t>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color="auto" w:fill="E7E6E6" w:themeFill="background2" w:val="clear"/>
          </w:tcPr>
          <w:p>
            <w:pPr>
              <w:pStyle w:val="Normal"/>
              <w:spacing w:lineRule="auto" w:line="240" w:before="0" w:after="0"/>
              <w:rPr/>
            </w:pPr>
            <w:r>
              <w:rPr/>
              <w:t>16 May 2018</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r>
        <w:trPr/>
        <w:tc>
          <w:tcPr>
            <w:tcW w:w="1700" w:type="dxa"/>
            <w:tcBorders/>
            <w:shd w:fill="auto" w:val="clear"/>
          </w:tcPr>
          <w:p>
            <w:pPr>
              <w:pStyle w:val="Normal"/>
              <w:spacing w:lineRule="auto" w:line="240" w:before="0" w:after="0"/>
              <w:rPr/>
            </w:pPr>
            <w:r>
              <w:rPr/>
              <w:t xml:space="preserve">12 June 2018 </w:t>
            </w:r>
          </w:p>
        </w:tc>
        <w:tc>
          <w:tcPr>
            <w:tcW w:w="1277" w:type="dxa"/>
            <w:tcBorders/>
            <w:shd w:fill="auto" w:val="clear"/>
          </w:tcPr>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pPr>
            <w:r>
              <w:rPr/>
              <w:t>Meeting with CCC</w:t>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tabs>
                <w:tab w:val="left" w:pos="142"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rFonts w:ascii="Calibri" w:hAnsi="Calibri" w:cs="Calibri"/>
                <w:lang w:eastAsia="en-GB"/>
              </w:rPr>
            </w:pPr>
            <w:r>
              <w:rPr>
                <w:rFonts w:cs="Calibri"/>
                <w:lang w:eastAsia="en-GB"/>
              </w:rPr>
              <w:t>Basic Conditions Statement judged to be satisfactory.</w:t>
            </w:r>
          </w:p>
          <w:p>
            <w:pPr>
              <w:pStyle w:val="Normal"/>
              <w:spacing w:lineRule="auto" w:line="240" w:before="0" w:after="0"/>
              <w:rPr>
                <w:rFonts w:cs="Calibri" w:cstheme="minorHAnsi"/>
              </w:rPr>
            </w:pPr>
            <w:r>
              <w:rPr>
                <w:rFonts w:cs="Calibri"/>
                <w:lang w:eastAsia="en-GB"/>
              </w:rPr>
              <w:t>Paragraphs need to be numbered-this revision was made and is to be found in the final regulation 16 version of the NP</w:t>
            </w:r>
          </w:p>
        </w:tc>
      </w:tr>
      <w:tr>
        <w:trPr/>
        <w:tc>
          <w:tcPr>
            <w:tcW w:w="1700" w:type="dxa"/>
            <w:tcBorders/>
            <w:shd w:color="auto" w:fill="E7E6E6" w:themeFill="background2" w:val="clear"/>
          </w:tcPr>
          <w:p>
            <w:pPr>
              <w:pStyle w:val="Normal"/>
              <w:spacing w:lineRule="auto" w:line="240" w:before="0" w:after="0"/>
              <w:rPr/>
            </w:pPr>
            <w:r>
              <w:rPr/>
              <w:t>18 June 2018</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tabs>
                <w:tab w:val="left" w:pos="142"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rFonts w:ascii="Calibri" w:hAnsi="Calibri" w:cs="Calibri"/>
                <w:lang w:eastAsia="en-GB"/>
              </w:rPr>
            </w:pPr>
            <w:r>
              <w:rPr>
                <w:rFonts w:cs="Calibri"/>
                <w:lang w:eastAsia="en-GB"/>
              </w:rPr>
            </w:r>
          </w:p>
        </w:tc>
      </w:tr>
      <w:tr>
        <w:trPr/>
        <w:tc>
          <w:tcPr>
            <w:tcW w:w="1700" w:type="dxa"/>
            <w:tcBorders/>
            <w:shd w:color="auto" w:fill="E7E6E6" w:themeFill="background2" w:val="clear"/>
          </w:tcPr>
          <w:p>
            <w:pPr>
              <w:pStyle w:val="Normal"/>
              <w:spacing w:lineRule="auto" w:line="240" w:before="0" w:after="0"/>
              <w:rPr/>
            </w:pPr>
            <w:r>
              <w:rPr/>
              <w:t>12 July 2018</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2628" w:type="dxa"/>
            <w:tcBorders/>
            <w:shd w:color="auto" w:fill="E7E6E6" w:themeFill="background2" w:val="clear"/>
          </w:tcPr>
          <w:p>
            <w:pPr>
              <w:pStyle w:val="Normal"/>
              <w:spacing w:lineRule="auto" w:line="240" w:before="0" w:after="0"/>
              <w:rPr/>
            </w:pPr>
            <w:r>
              <w:rPr/>
              <w:t>Parish council  voted to adopt fully the regulation 16 version of the plan</w:t>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tabs>
                <w:tab w:val="left" w:pos="142" w:leader="none"/>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spacing w:lineRule="auto" w:line="240" w:before="0" w:after="0"/>
              <w:jc w:val="both"/>
              <w:rPr>
                <w:rFonts w:ascii="Calibri" w:hAnsi="Calibri" w:cs="Calibri"/>
              </w:rPr>
            </w:pPr>
            <w:r>
              <w:rPr>
                <w:rFonts w:cs="Calibri"/>
              </w:rPr>
            </w:r>
          </w:p>
        </w:tc>
      </w:tr>
      <w:tr>
        <w:trPr/>
        <w:tc>
          <w:tcPr>
            <w:tcW w:w="1700" w:type="dxa"/>
            <w:tcBorders/>
            <w:shd w:fill="auto" w:val="clear"/>
          </w:tcPr>
          <w:p>
            <w:pPr>
              <w:pStyle w:val="Normal"/>
              <w:spacing w:lineRule="auto" w:line="240" w:before="0" w:after="0"/>
              <w:rPr/>
            </w:pPr>
            <w:r>
              <w:rPr/>
              <w:t>6 July - 7 September 2018</w:t>
            </w:r>
          </w:p>
        </w:tc>
        <w:tc>
          <w:tcPr>
            <w:tcW w:w="1277" w:type="dxa"/>
            <w:tcBorders/>
            <w:shd w:fill="auto" w:val="clear"/>
          </w:tcPr>
          <w:p>
            <w:pPr>
              <w:pStyle w:val="Normal"/>
              <w:spacing w:lineRule="auto" w:line="240" w:before="0" w:after="0"/>
              <w:rPr>
                <w:rFonts w:cs="Calibri" w:cstheme="minorHAnsi"/>
              </w:rPr>
            </w:pPr>
            <w:r>
              <w:rPr>
                <w:rFonts w:cs="Calibri" w:cstheme="minorHAnsi"/>
              </w:rPr>
            </w:r>
          </w:p>
        </w:tc>
        <w:tc>
          <w:tcPr>
            <w:tcW w:w="2628" w:type="dxa"/>
            <w:tcBorders/>
            <w:shd w:fill="auto" w:val="clear"/>
          </w:tcPr>
          <w:p>
            <w:pPr>
              <w:pStyle w:val="Normal"/>
              <w:spacing w:lineRule="auto" w:line="240" w:before="0" w:after="0"/>
              <w:rPr/>
            </w:pPr>
            <w:r>
              <w:rPr/>
              <w:t>Regulation 16 consultation</w:t>
            </w:r>
          </w:p>
        </w:tc>
        <w:tc>
          <w:tcPr>
            <w:tcW w:w="1424" w:type="dxa"/>
            <w:tcBorders/>
            <w:shd w:fill="auto" w:val="clear"/>
          </w:tcPr>
          <w:p>
            <w:pPr>
              <w:pStyle w:val="Normal"/>
              <w:spacing w:lineRule="auto" w:line="240" w:before="0" w:after="0"/>
              <w:rPr>
                <w:rFonts w:cs="Calibri" w:cstheme="minorHAnsi"/>
              </w:rPr>
            </w:pPr>
            <w:r>
              <w:rPr>
                <w:rFonts w:cs="Calibri" w:cstheme="minorHAnsi"/>
              </w:rPr>
            </w:r>
          </w:p>
        </w:tc>
        <w:tc>
          <w:tcPr>
            <w:tcW w:w="1193" w:type="dxa"/>
            <w:tcBorders/>
            <w:shd w:fill="auto" w:val="clear"/>
          </w:tcPr>
          <w:p>
            <w:pPr>
              <w:pStyle w:val="Normal"/>
              <w:spacing w:lineRule="auto" w:line="240" w:before="0" w:after="0"/>
              <w:rPr>
                <w:rFonts w:cs="Calibri" w:cstheme="minorHAnsi"/>
              </w:rPr>
            </w:pPr>
            <w:r>
              <w:rPr>
                <w:rFonts w:cs="Calibri" w:cstheme="minorHAnsi"/>
              </w:rPr>
            </w:r>
          </w:p>
        </w:tc>
        <w:tc>
          <w:tcPr>
            <w:tcW w:w="1134" w:type="dxa"/>
            <w:tcBorders/>
            <w:shd w:fill="auto" w:val="clear"/>
          </w:tcPr>
          <w:p>
            <w:pPr>
              <w:pStyle w:val="Normal"/>
              <w:spacing w:lineRule="auto" w:line="240" w:before="0" w:after="0"/>
              <w:rPr>
                <w:rFonts w:cs="Calibri" w:cstheme="minorHAnsi"/>
              </w:rPr>
            </w:pPr>
            <w:r>
              <w:rPr>
                <w:rFonts w:cs="Calibri" w:cstheme="minorHAnsi"/>
              </w:rPr>
            </w:r>
          </w:p>
        </w:tc>
        <w:tc>
          <w:tcPr>
            <w:tcW w:w="5102" w:type="dxa"/>
            <w:tcBorders/>
            <w:shd w:fill="auto" w:val="clear"/>
          </w:tcPr>
          <w:p>
            <w:pPr>
              <w:pStyle w:val="Normal"/>
              <w:spacing w:lineRule="auto" w:line="240" w:before="0" w:after="0"/>
              <w:rPr>
                <w:rFonts w:cs="Calibri" w:cstheme="minorHAnsi"/>
              </w:rPr>
            </w:pPr>
            <w:r>
              <w:rPr>
                <w:rFonts w:cs="Calibri" w:cstheme="minorHAnsi"/>
              </w:rPr>
              <w:t xml:space="preserve">Policy C1 (m) amplified. (requested by CCC)  </w:t>
            </w:r>
          </w:p>
          <w:p>
            <w:pPr>
              <w:pStyle w:val="Normal"/>
              <w:spacing w:lineRule="auto" w:line="240" w:before="0" w:after="0"/>
              <w:rPr>
                <w:rFonts w:cs="Calibri" w:cstheme="minorHAnsi"/>
              </w:rPr>
            </w:pPr>
            <w:r>
              <w:rPr>
                <w:rFonts w:cs="Calibri" w:cstheme="minorHAnsi"/>
              </w:rPr>
              <w:t>Policy C7 (second sentence added)(requested by CCC).  p. 25 –green spaces numbered (requested by inspector)</w:t>
            </w:r>
          </w:p>
          <w:p>
            <w:pPr>
              <w:pStyle w:val="Normal"/>
              <w:spacing w:lineRule="auto" w:line="240" w:before="0" w:after="0"/>
              <w:rPr>
                <w:rFonts w:cs="Calibri" w:cstheme="minorHAnsi"/>
              </w:rPr>
            </w:pPr>
            <w:r>
              <w:rPr>
                <w:rFonts w:cs="Calibri" w:cstheme="minorHAnsi"/>
              </w:rPr>
              <w:t>p.27 new pictures and views added to illustrate more accurately the narrative in the text (requested by Inspector)</w:t>
            </w:r>
          </w:p>
          <w:p>
            <w:pPr>
              <w:pStyle w:val="Normal"/>
              <w:spacing w:lineRule="auto" w:line="240" w:before="0" w:after="0"/>
              <w:rPr>
                <w:rFonts w:cs="Calibri" w:cstheme="minorHAnsi"/>
              </w:rPr>
            </w:pPr>
            <w:r>
              <w:rPr>
                <w:rFonts w:cs="Calibri" w:cstheme="minorHAnsi"/>
              </w:rPr>
              <w:t>(All decided at 16 October 2018 meeting)</w:t>
            </w:r>
          </w:p>
        </w:tc>
      </w:tr>
      <w:tr>
        <w:trPr/>
        <w:tc>
          <w:tcPr>
            <w:tcW w:w="1700" w:type="dxa"/>
            <w:tcBorders/>
            <w:shd w:color="auto" w:fill="E7E6E6" w:themeFill="background2" w:val="clear"/>
          </w:tcPr>
          <w:p>
            <w:pPr>
              <w:pStyle w:val="Normal"/>
              <w:spacing w:lineRule="auto" w:line="240" w:before="0" w:after="0"/>
              <w:rPr/>
            </w:pPr>
            <w:r>
              <w:rPr/>
              <w:t>16 October 2018</w:t>
            </w:r>
          </w:p>
        </w:tc>
        <w:tc>
          <w:tcPr>
            <w:tcW w:w="1277" w:type="dxa"/>
            <w:tcBorders/>
            <w:shd w:color="auto" w:fill="E7E6E6" w:themeFill="background2" w:val="clear"/>
          </w:tcPr>
          <w:p>
            <w:pPr>
              <w:pStyle w:val="Normal"/>
              <w:spacing w:lineRule="auto" w:line="240" w:before="0" w:after="0"/>
              <w:rPr>
                <w:rFonts w:cs="Calibri" w:cstheme="minorHAnsi"/>
              </w:rPr>
            </w:pPr>
            <w:r>
              <w:rPr>
                <w:rFonts w:cs="Calibri" w:cstheme="minorHAnsi"/>
              </w:rPr>
              <w:t>√</w:t>
            </w:r>
          </w:p>
        </w:tc>
        <w:tc>
          <w:tcPr>
            <w:tcW w:w="2628" w:type="dxa"/>
            <w:tcBorders/>
            <w:shd w:color="auto" w:fill="E7E6E6" w:themeFill="background2" w:val="clear"/>
          </w:tcPr>
          <w:p>
            <w:pPr>
              <w:pStyle w:val="Normal"/>
              <w:spacing w:lineRule="auto" w:line="240" w:before="0" w:after="0"/>
              <w:rPr/>
            </w:pPr>
            <w:r>
              <w:rPr/>
            </w:r>
          </w:p>
        </w:tc>
        <w:tc>
          <w:tcPr>
            <w:tcW w:w="142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93"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1134" w:type="dxa"/>
            <w:tcBorders/>
            <w:shd w:color="auto" w:fill="E7E6E6" w:themeFill="background2" w:val="clear"/>
          </w:tcPr>
          <w:p>
            <w:pPr>
              <w:pStyle w:val="Normal"/>
              <w:spacing w:lineRule="auto" w:line="240" w:before="0" w:after="0"/>
              <w:rPr>
                <w:rFonts w:cs="Calibri" w:cstheme="minorHAnsi"/>
              </w:rPr>
            </w:pPr>
            <w:r>
              <w:rPr>
                <w:rFonts w:cs="Calibri" w:cstheme="minorHAnsi"/>
              </w:rPr>
            </w:r>
          </w:p>
        </w:tc>
        <w:tc>
          <w:tcPr>
            <w:tcW w:w="5102" w:type="dxa"/>
            <w:tcBorders/>
            <w:shd w:color="auto" w:fill="E7E6E6" w:themeFill="background2" w:val="clear"/>
          </w:tcPr>
          <w:p>
            <w:pPr>
              <w:pStyle w:val="Normal"/>
              <w:spacing w:lineRule="auto" w:line="240" w:before="0" w:after="0"/>
              <w:rPr>
                <w:rFonts w:cs="Calibri" w:cstheme="minorHAnsi"/>
              </w:rPr>
            </w:pPr>
            <w:r>
              <w:rPr>
                <w:rFonts w:cs="Calibri" w:cstheme="minorHAnsi"/>
              </w:rPr>
            </w:r>
          </w:p>
        </w:tc>
      </w:tr>
    </w:tbl>
    <w:p>
      <w:pPr>
        <w:pStyle w:val="Normal"/>
        <w:rPr/>
      </w:pPr>
      <w:r>
        <w:rPr/>
      </w:r>
    </w:p>
    <w:p>
      <w:pPr>
        <w:pStyle w:val="Normal"/>
        <w:rPr/>
      </w:pPr>
      <w:r>
        <w:rPr/>
      </w:r>
    </w:p>
    <w:p>
      <w:pPr>
        <w:pStyle w:val="Normal"/>
        <w:rPr/>
      </w:pPr>
      <w:r>
        <w:rPr/>
        <w:t>Philip Wicker  Clerk to Bridge Parish Council</w:t>
      </w:r>
    </w:p>
    <w:p>
      <w:pPr>
        <w:pStyle w:val="Normal"/>
        <w:rPr/>
      </w:pPr>
      <w:r>
        <w:rPr/>
        <w:t>23 October 2018</w:t>
      </w:r>
    </w:p>
    <w:p>
      <w:pPr>
        <w:pStyle w:val="Normal"/>
        <w:rPr/>
      </w:pPr>
      <w:r>
        <w:rPr/>
        <w:t>Further stakeholder discussions:</w:t>
      </w:r>
    </w:p>
    <w:tbl>
      <w:tblPr>
        <w:tblStyle w:val="TableGrid"/>
        <w:tblW w:w="13462" w:type="dxa"/>
        <w:jc w:val="left"/>
        <w:tblInd w:w="0" w:type="dxa"/>
        <w:tblCellMar>
          <w:top w:w="0" w:type="dxa"/>
          <w:left w:w="108" w:type="dxa"/>
          <w:bottom w:w="0" w:type="dxa"/>
          <w:right w:w="108" w:type="dxa"/>
        </w:tblCellMar>
        <w:tblLook w:firstRow="1" w:noVBand="1" w:lastRow="0" w:firstColumn="1" w:lastColumn="0" w:noHBand="0" w:val="04a0"/>
      </w:tblPr>
      <w:tblGrid>
        <w:gridCol w:w="8074"/>
        <w:gridCol w:w="1843"/>
        <w:gridCol w:w="3545"/>
      </w:tblGrid>
      <w:tr>
        <w:trPr/>
        <w:tc>
          <w:tcPr>
            <w:tcW w:w="8074" w:type="dxa"/>
            <w:tcBorders/>
            <w:shd w:fill="auto" w:val="clear"/>
          </w:tcPr>
          <w:p>
            <w:pPr>
              <w:pStyle w:val="Normal"/>
              <w:spacing w:lineRule="auto" w:line="240" w:before="0" w:after="0"/>
              <w:rPr/>
            </w:pPr>
            <w:r>
              <w:rPr/>
              <w:t xml:space="preserve">Letter to  </w:t>
            </w:r>
          </w:p>
        </w:tc>
        <w:tc>
          <w:tcPr>
            <w:tcW w:w="1843" w:type="dxa"/>
            <w:tcBorders/>
            <w:shd w:fill="auto" w:val="clear"/>
          </w:tcPr>
          <w:p>
            <w:pPr>
              <w:pStyle w:val="Normal"/>
              <w:spacing w:lineRule="auto" w:line="240" w:before="0" w:after="0"/>
              <w:rPr/>
            </w:pPr>
            <w:r>
              <w:rPr/>
              <w:t xml:space="preserve">Sent on </w:t>
            </w:r>
          </w:p>
        </w:tc>
        <w:tc>
          <w:tcPr>
            <w:tcW w:w="3545" w:type="dxa"/>
            <w:tcBorders/>
            <w:shd w:fill="auto" w:val="clear"/>
          </w:tcPr>
          <w:p>
            <w:pPr>
              <w:pStyle w:val="Normal"/>
              <w:spacing w:lineRule="auto" w:line="240" w:before="0" w:after="0"/>
              <w:rPr/>
            </w:pPr>
            <w:r>
              <w:rPr/>
              <w:t>Reply received</w:t>
            </w:r>
          </w:p>
        </w:tc>
      </w:tr>
      <w:tr>
        <w:trPr/>
        <w:tc>
          <w:tcPr>
            <w:tcW w:w="8074" w:type="dxa"/>
            <w:tcBorders/>
            <w:shd w:fill="auto" w:val="clear"/>
          </w:tcPr>
          <w:p>
            <w:pPr>
              <w:pStyle w:val="Normal"/>
              <w:spacing w:lineRule="auto" w:line="240" w:before="0" w:after="0"/>
              <w:rPr/>
            </w:pPr>
            <w:r>
              <w:rPr/>
              <w:t>Highland Investment Co Ltd</w:t>
            </w:r>
          </w:p>
        </w:tc>
        <w:tc>
          <w:tcPr>
            <w:tcW w:w="1843" w:type="dxa"/>
            <w:tcBorders/>
            <w:shd w:fill="auto" w:val="clear"/>
          </w:tcPr>
          <w:p>
            <w:pPr>
              <w:pStyle w:val="Normal"/>
              <w:spacing w:lineRule="auto" w:line="240" w:before="0" w:after="0"/>
              <w:rPr/>
            </w:pPr>
            <w:r>
              <w:rPr/>
              <w:t>01.03.2014</w:t>
            </w:r>
          </w:p>
        </w:tc>
        <w:tc>
          <w:tcPr>
            <w:tcW w:w="3545" w:type="dxa"/>
            <w:tcBorders/>
            <w:shd w:fill="auto" w:val="clear"/>
          </w:tcPr>
          <w:p>
            <w:pPr>
              <w:pStyle w:val="Normal"/>
              <w:spacing w:lineRule="auto" w:line="240" w:before="0" w:after="0"/>
              <w:rPr/>
            </w:pPr>
            <w:r>
              <w:rPr/>
              <w:t>18.03.2014</w:t>
            </w:r>
          </w:p>
        </w:tc>
      </w:tr>
      <w:tr>
        <w:trPr/>
        <w:tc>
          <w:tcPr>
            <w:tcW w:w="8074" w:type="dxa"/>
            <w:tcBorders/>
            <w:shd w:fill="auto" w:val="clear"/>
          </w:tcPr>
          <w:p>
            <w:pPr>
              <w:pStyle w:val="Normal"/>
              <w:spacing w:lineRule="auto" w:line="240" w:before="0" w:after="0"/>
              <w:rPr/>
            </w:pPr>
            <w:r>
              <w:rPr/>
              <w:t>Savills</w:t>
            </w:r>
          </w:p>
        </w:tc>
        <w:tc>
          <w:tcPr>
            <w:tcW w:w="1843" w:type="dxa"/>
            <w:tcBorders/>
            <w:shd w:fill="auto" w:val="clear"/>
          </w:tcPr>
          <w:p>
            <w:pPr>
              <w:pStyle w:val="Normal"/>
              <w:spacing w:lineRule="auto" w:line="240" w:before="0" w:after="0"/>
              <w:rPr/>
            </w:pPr>
            <w:r>
              <w:rPr/>
              <w:t>15.06.2012</w:t>
            </w:r>
          </w:p>
        </w:tc>
        <w:tc>
          <w:tcPr>
            <w:tcW w:w="3545" w:type="dxa"/>
            <w:tcBorders/>
            <w:shd w:fill="auto" w:val="clear"/>
          </w:tcPr>
          <w:p>
            <w:pPr>
              <w:pStyle w:val="Normal"/>
              <w:spacing w:lineRule="auto" w:line="240" w:before="0" w:after="0"/>
              <w:rPr/>
            </w:pPr>
            <w:r>
              <w:rPr/>
            </w:r>
          </w:p>
        </w:tc>
      </w:tr>
      <w:tr>
        <w:trPr/>
        <w:tc>
          <w:tcPr>
            <w:tcW w:w="8074" w:type="dxa"/>
            <w:tcBorders/>
            <w:shd w:fill="auto" w:val="clear"/>
          </w:tcPr>
          <w:p>
            <w:pPr>
              <w:pStyle w:val="Normal"/>
              <w:spacing w:lineRule="auto" w:line="240" w:before="0" w:after="0"/>
              <w:rPr/>
            </w:pPr>
            <w:r>
              <w:rPr/>
              <w:t>CCC Estates dept</w:t>
            </w:r>
          </w:p>
        </w:tc>
        <w:tc>
          <w:tcPr>
            <w:tcW w:w="1843" w:type="dxa"/>
            <w:tcBorders/>
            <w:shd w:fill="auto" w:val="clear"/>
          </w:tcPr>
          <w:p>
            <w:pPr>
              <w:pStyle w:val="Normal"/>
              <w:spacing w:lineRule="auto" w:line="240" w:before="0" w:after="0"/>
              <w:rPr/>
            </w:pPr>
            <w:r>
              <w:rPr/>
              <w:t>01.03.2014</w:t>
            </w:r>
          </w:p>
        </w:tc>
        <w:tc>
          <w:tcPr>
            <w:tcW w:w="3545" w:type="dxa"/>
            <w:tcBorders/>
            <w:shd w:fill="auto" w:val="clear"/>
          </w:tcPr>
          <w:p>
            <w:pPr>
              <w:pStyle w:val="Normal"/>
              <w:spacing w:lineRule="auto" w:line="240" w:before="0" w:after="0"/>
              <w:rPr/>
            </w:pPr>
            <w:r>
              <w:rPr/>
            </w:r>
          </w:p>
        </w:tc>
      </w:tr>
      <w:tr>
        <w:trPr/>
        <w:tc>
          <w:tcPr>
            <w:tcW w:w="8074" w:type="dxa"/>
            <w:tcBorders/>
            <w:shd w:fill="auto" w:val="clear"/>
          </w:tcPr>
          <w:p>
            <w:pPr>
              <w:pStyle w:val="Normal"/>
              <w:spacing w:lineRule="auto" w:line="240" w:before="0" w:after="0"/>
              <w:rPr/>
            </w:pPr>
            <w:r>
              <w:rPr/>
              <w:t>Dental practice</w:t>
            </w:r>
          </w:p>
        </w:tc>
        <w:tc>
          <w:tcPr>
            <w:tcW w:w="1843" w:type="dxa"/>
            <w:tcBorders/>
            <w:shd w:fill="auto" w:val="clear"/>
          </w:tcPr>
          <w:p>
            <w:pPr>
              <w:pStyle w:val="Normal"/>
              <w:spacing w:lineRule="auto" w:line="240" w:before="0" w:after="0"/>
              <w:rPr/>
            </w:pPr>
            <w:r>
              <w:rPr/>
              <w:t>12.06.2012</w:t>
            </w:r>
          </w:p>
        </w:tc>
        <w:tc>
          <w:tcPr>
            <w:tcW w:w="3545" w:type="dxa"/>
            <w:tcBorders/>
            <w:shd w:fill="auto" w:val="clear"/>
          </w:tcPr>
          <w:p>
            <w:pPr>
              <w:pStyle w:val="Normal"/>
              <w:spacing w:lineRule="auto" w:line="240" w:before="0" w:after="0"/>
              <w:rPr/>
            </w:pPr>
            <w:r>
              <w:rPr/>
            </w:r>
          </w:p>
        </w:tc>
      </w:tr>
      <w:tr>
        <w:trPr/>
        <w:tc>
          <w:tcPr>
            <w:tcW w:w="8074" w:type="dxa"/>
            <w:tcBorders/>
            <w:shd w:fill="auto" w:val="clear"/>
          </w:tcPr>
          <w:p>
            <w:pPr>
              <w:pStyle w:val="Normal"/>
              <w:spacing w:lineRule="auto" w:line="240" w:before="0" w:after="0"/>
              <w:rPr/>
            </w:pPr>
            <w:r>
              <w:rPr/>
              <w:t>Health Centre</w:t>
            </w:r>
          </w:p>
        </w:tc>
        <w:tc>
          <w:tcPr>
            <w:tcW w:w="1843" w:type="dxa"/>
            <w:tcBorders/>
            <w:shd w:fill="auto" w:val="clear"/>
          </w:tcPr>
          <w:p>
            <w:pPr>
              <w:pStyle w:val="Normal"/>
              <w:spacing w:lineRule="auto" w:line="240" w:before="0" w:after="0"/>
              <w:rPr/>
            </w:pPr>
            <w:r>
              <w:rPr/>
              <w:t>06.09.2013</w:t>
            </w:r>
          </w:p>
        </w:tc>
        <w:tc>
          <w:tcPr>
            <w:tcW w:w="3545" w:type="dxa"/>
            <w:tcBorders/>
            <w:shd w:fill="auto" w:val="clear"/>
          </w:tcPr>
          <w:p>
            <w:pPr>
              <w:pStyle w:val="Normal"/>
              <w:spacing w:lineRule="auto" w:line="240" w:before="0" w:after="0"/>
              <w:rPr/>
            </w:pPr>
            <w:r>
              <w:rPr/>
              <w:t>16.10.2013</w:t>
            </w:r>
          </w:p>
        </w:tc>
      </w:tr>
      <w:tr>
        <w:trPr/>
        <w:tc>
          <w:tcPr>
            <w:tcW w:w="8074" w:type="dxa"/>
            <w:tcBorders/>
            <w:shd w:fill="auto" w:val="clear"/>
          </w:tcPr>
          <w:p>
            <w:pPr>
              <w:pStyle w:val="Normal"/>
              <w:spacing w:lineRule="auto" w:line="240" w:before="0" w:after="0"/>
              <w:rPr/>
            </w:pPr>
            <w:r>
              <w:rPr/>
              <w:t>Owners of all shops in Bridge (including Pharmacy, Post Office, Woodlands, Bridgeway Stores, Nicholas James, Alfie and Trish photography, Laurie Wakeham)</w:t>
            </w:r>
          </w:p>
        </w:tc>
        <w:tc>
          <w:tcPr>
            <w:tcW w:w="1843" w:type="dxa"/>
            <w:tcBorders/>
            <w:shd w:fill="auto" w:val="clear"/>
          </w:tcPr>
          <w:p>
            <w:pPr>
              <w:pStyle w:val="Normal"/>
              <w:spacing w:lineRule="auto" w:line="240" w:before="0" w:after="0"/>
              <w:rPr/>
            </w:pPr>
            <w:r>
              <w:rPr/>
              <w:t>12.06.2012</w:t>
            </w:r>
          </w:p>
        </w:tc>
        <w:tc>
          <w:tcPr>
            <w:tcW w:w="3545" w:type="dxa"/>
            <w:tcBorders/>
            <w:shd w:fill="auto" w:val="clear"/>
          </w:tcPr>
          <w:p>
            <w:pPr>
              <w:pStyle w:val="Normal"/>
              <w:spacing w:lineRule="auto" w:line="240" w:before="0" w:after="0"/>
              <w:rPr/>
            </w:pPr>
            <w:r>
              <w:rPr/>
              <w:t>06.07.2012 (one and only reply received)</w:t>
            </w:r>
          </w:p>
        </w:tc>
      </w:tr>
      <w:tr>
        <w:trPr/>
        <w:tc>
          <w:tcPr>
            <w:tcW w:w="8074" w:type="dxa"/>
            <w:vMerge w:val="restart"/>
            <w:tcBorders/>
            <w:shd w:fill="auto" w:val="clear"/>
          </w:tcPr>
          <w:p>
            <w:pPr>
              <w:pStyle w:val="Normal"/>
              <w:spacing w:lineRule="auto" w:line="240" w:before="0" w:after="0"/>
              <w:rPr/>
            </w:pPr>
            <w:r>
              <w:rPr/>
              <w:t>Bridge School</w:t>
            </w:r>
          </w:p>
        </w:tc>
        <w:tc>
          <w:tcPr>
            <w:tcW w:w="1843" w:type="dxa"/>
            <w:tcBorders/>
            <w:shd w:fill="auto" w:val="clear"/>
          </w:tcPr>
          <w:p>
            <w:pPr>
              <w:pStyle w:val="Normal"/>
              <w:spacing w:lineRule="auto" w:line="240" w:before="0" w:after="0"/>
              <w:rPr/>
            </w:pPr>
            <w:r>
              <w:rPr/>
              <w:t>12.06.2012</w:t>
            </w:r>
          </w:p>
        </w:tc>
        <w:tc>
          <w:tcPr>
            <w:tcW w:w="3545" w:type="dxa"/>
            <w:tcBorders/>
            <w:shd w:fill="auto" w:val="clear"/>
          </w:tcPr>
          <w:p>
            <w:pPr>
              <w:pStyle w:val="Normal"/>
              <w:spacing w:lineRule="auto" w:line="240" w:before="0" w:after="0"/>
              <w:rPr/>
            </w:pPr>
            <w:r>
              <w:rPr/>
            </w:r>
          </w:p>
        </w:tc>
      </w:tr>
      <w:tr>
        <w:trPr/>
        <w:tc>
          <w:tcPr>
            <w:tcW w:w="8074" w:type="dxa"/>
            <w:vMerge w:val="continue"/>
            <w:tcBorders/>
            <w:shd w:fill="auto" w:val="clear"/>
          </w:tcPr>
          <w:p>
            <w:pPr>
              <w:pStyle w:val="Normal"/>
              <w:spacing w:lineRule="auto" w:line="240" w:before="0" w:after="0"/>
              <w:rPr/>
            </w:pPr>
            <w:r>
              <w:rPr/>
            </w:r>
          </w:p>
        </w:tc>
        <w:tc>
          <w:tcPr>
            <w:tcW w:w="1843" w:type="dxa"/>
            <w:tcBorders/>
            <w:shd w:fill="auto" w:val="clear"/>
          </w:tcPr>
          <w:p>
            <w:pPr>
              <w:pStyle w:val="Normal"/>
              <w:spacing w:lineRule="auto" w:line="240" w:before="0" w:after="0"/>
              <w:rPr/>
            </w:pPr>
            <w:r>
              <w:rPr/>
              <w:t>08.04.2013</w:t>
            </w:r>
          </w:p>
        </w:tc>
        <w:tc>
          <w:tcPr>
            <w:tcW w:w="3545" w:type="dxa"/>
            <w:tcBorders/>
            <w:shd w:fill="auto" w:val="clear"/>
          </w:tcPr>
          <w:p>
            <w:pPr>
              <w:pStyle w:val="Normal"/>
              <w:spacing w:lineRule="auto" w:line="240" w:before="0" w:after="0"/>
              <w:rPr/>
            </w:pPr>
            <w:r>
              <w:rPr/>
              <w:t>18.04.2013</w:t>
            </w:r>
          </w:p>
        </w:tc>
      </w:tr>
      <w:tr>
        <w:trPr/>
        <w:tc>
          <w:tcPr>
            <w:tcW w:w="8074" w:type="dxa"/>
            <w:vMerge w:val="continue"/>
            <w:tcBorders/>
            <w:shd w:fill="auto" w:val="clear"/>
          </w:tcPr>
          <w:p>
            <w:pPr>
              <w:pStyle w:val="Normal"/>
              <w:spacing w:lineRule="auto" w:line="240" w:before="0" w:after="0"/>
              <w:rPr/>
            </w:pPr>
            <w:r>
              <w:rPr/>
            </w:r>
          </w:p>
        </w:tc>
        <w:tc>
          <w:tcPr>
            <w:tcW w:w="1843" w:type="dxa"/>
            <w:tcBorders/>
            <w:shd w:fill="auto" w:val="clear"/>
          </w:tcPr>
          <w:p>
            <w:pPr>
              <w:pStyle w:val="Normal"/>
              <w:spacing w:lineRule="auto" w:line="240" w:before="0" w:after="0"/>
              <w:rPr/>
            </w:pPr>
            <w:r>
              <w:rPr/>
              <w:t>06.09.2013</w:t>
            </w:r>
          </w:p>
        </w:tc>
        <w:tc>
          <w:tcPr>
            <w:tcW w:w="3545" w:type="dxa"/>
            <w:tcBorders/>
            <w:shd w:fill="auto" w:val="clear"/>
          </w:tcPr>
          <w:p>
            <w:pPr>
              <w:pStyle w:val="Normal"/>
              <w:spacing w:lineRule="auto" w:line="240" w:before="0" w:after="0"/>
              <w:rPr/>
            </w:pPr>
            <w:r>
              <w:rPr/>
            </w:r>
          </w:p>
        </w:tc>
      </w:tr>
      <w:tr>
        <w:trPr/>
        <w:tc>
          <w:tcPr>
            <w:tcW w:w="8074" w:type="dxa"/>
            <w:tcBorders/>
            <w:shd w:fill="auto" w:val="clear"/>
          </w:tcPr>
          <w:p>
            <w:pPr>
              <w:pStyle w:val="Normal"/>
              <w:spacing w:lineRule="auto" w:line="240" w:before="0" w:after="0"/>
              <w:rPr/>
            </w:pPr>
            <w:r>
              <w:rPr/>
              <w:t>Roger’s Garage</w:t>
            </w:r>
          </w:p>
        </w:tc>
        <w:tc>
          <w:tcPr>
            <w:tcW w:w="1843" w:type="dxa"/>
            <w:tcBorders/>
            <w:shd w:fill="auto" w:val="clear"/>
          </w:tcPr>
          <w:p>
            <w:pPr>
              <w:pStyle w:val="Normal"/>
              <w:spacing w:lineRule="auto" w:line="240" w:before="0" w:after="0"/>
              <w:rPr/>
            </w:pPr>
            <w:r>
              <w:rPr/>
              <w:t>10.03.2014</w:t>
            </w:r>
          </w:p>
        </w:tc>
        <w:tc>
          <w:tcPr>
            <w:tcW w:w="3545" w:type="dxa"/>
            <w:tcBorders/>
            <w:shd w:fill="auto" w:val="clear"/>
          </w:tcPr>
          <w:p>
            <w:pPr>
              <w:pStyle w:val="Normal"/>
              <w:spacing w:lineRule="auto" w:line="240" w:before="0" w:after="0"/>
              <w:rPr/>
            </w:pPr>
            <w:r>
              <w:rPr/>
            </w:r>
          </w:p>
        </w:tc>
      </w:tr>
      <w:tr>
        <w:trPr/>
        <w:tc>
          <w:tcPr>
            <w:tcW w:w="8074" w:type="dxa"/>
            <w:tcBorders/>
            <w:shd w:fill="auto" w:val="clear"/>
          </w:tcPr>
          <w:p>
            <w:pPr>
              <w:pStyle w:val="Normal"/>
              <w:spacing w:lineRule="auto" w:line="240" w:before="0" w:after="0"/>
              <w:rPr/>
            </w:pPr>
            <w:r>
              <w:rPr/>
              <w:t>Mr V Macdonald (landowner)</w:t>
            </w:r>
          </w:p>
        </w:tc>
        <w:tc>
          <w:tcPr>
            <w:tcW w:w="1843" w:type="dxa"/>
            <w:tcBorders/>
            <w:shd w:fill="auto" w:val="clear"/>
          </w:tcPr>
          <w:p>
            <w:pPr>
              <w:pStyle w:val="Normal"/>
              <w:spacing w:lineRule="auto" w:line="240" w:before="0" w:after="0"/>
              <w:rPr/>
            </w:pPr>
            <w:r>
              <w:rPr/>
              <w:t>01.03.2014</w:t>
            </w:r>
          </w:p>
        </w:tc>
        <w:tc>
          <w:tcPr>
            <w:tcW w:w="3545" w:type="dxa"/>
            <w:tcBorders/>
            <w:shd w:fill="auto" w:val="clear"/>
          </w:tcPr>
          <w:p>
            <w:pPr>
              <w:pStyle w:val="Normal"/>
              <w:spacing w:lineRule="auto" w:line="240" w:before="0" w:after="0"/>
              <w:rPr/>
            </w:pPr>
            <w:r>
              <w:rPr/>
              <w:t>By email</w:t>
            </w:r>
          </w:p>
        </w:tc>
      </w:tr>
    </w:tbl>
    <w:p>
      <w:pPr>
        <w:pStyle w:val="Normal"/>
        <w:widowControl/>
        <w:bidi w:val="0"/>
        <w:spacing w:lineRule="auto" w:line="259" w:before="0" w:after="160"/>
        <w:jc w:val="left"/>
        <w:rPr/>
      </w:pPr>
      <w:r>
        <w:rPr/>
      </w:r>
    </w:p>
    <w:sectPr>
      <w:type w:val="nextPage"/>
      <w:pgSz w:orient="landscape" w:w="16838" w:h="11906"/>
      <w:pgMar w:left="1440" w:right="1440" w:header="0" w:top="1440" w:footer="0" w:bottom="1440"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1"/>
    <w:family w:val="swiss"/>
    <w:pitch w:val="default"/>
  </w:font>
  <w:font w:name="Segoe UI">
    <w:charset w:val="01"/>
    <w:family w:val="swiss"/>
    <w:pitch w:val="default"/>
  </w:font>
  <w:font w:name="Arial">
    <w:charset w:val="01"/>
    <w:family w:val="swiss"/>
    <w:pitch w:val="default"/>
  </w:font>
  <w:font w:name="Liberation Sans">
    <w:altName w:val="Arial"/>
    <w:charset w:val="00"/>
    <w:family w:val="swiss"/>
    <w:pitch w:val="variable"/>
  </w:font>
  <w:font w:name="Times New Roman">
    <w:charset w:val="01"/>
    <w:family w:val="swiss"/>
    <w:pitch w:val="default"/>
  </w:font>
  <w:font w:name="Courier New">
    <w:charset w:val="01"/>
    <w:family w:val="swiss"/>
    <w:pitch w:val="default"/>
  </w:font>
  <w:font w:name="Courier New">
    <w:charset w:val="01"/>
    <w:family w:val="modern"/>
    <w:pitch w:val="fixed"/>
  </w:font>
  <w:font w:name="Wingdings">
    <w:charset w:val="02"/>
    <w:family w:val="auto"/>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Fonts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Fonts w:cs="Courier New"/>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Fonts w:cs="Courier New"/>
      </w:rPr>
    </w:lvl>
    <w:lvl w:ilvl="8">
      <w:start w:val="1"/>
      <w:numFmt w:val="bullet"/>
      <w:lvlText w:val=""/>
      <w:lvlJc w:val="left"/>
      <w:pPr>
        <w:ind w:left="6480" w:hanging="360"/>
      </w:pPr>
      <w:rPr>
        <w:rFonts w:ascii="Wingdings" w:hAnsi="Wingdings" w:cs="Wingdings" w:hint="default"/>
      </w:rPr>
    </w:lvl>
  </w:abstractNum>
  <w:abstractNum w:abstractNumId="4">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00"/>
  <w:defaultTabStop w:val="72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en-GB"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GB" w:eastAsia="en-US" w:bidi="ar-SA"/>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GB" w:eastAsia="en-US" w:bidi="ar-SA"/>
    </w:rPr>
  </w:style>
  <w:style w:type="character" w:styleId="DefaultParagraphFont" w:default="1">
    <w:name w:val="Default Paragraph Font"/>
    <w:uiPriority w:val="1"/>
    <w:semiHidden/>
    <w:unhideWhenUsed/>
    <w:qFormat/>
    <w:rPr/>
  </w:style>
  <w:style w:type="character" w:styleId="InternetLink">
    <w:name w:val="Internet Link"/>
    <w:basedOn w:val="DefaultParagraphFont"/>
    <w:uiPriority w:val="99"/>
    <w:unhideWhenUsed/>
    <w:rsid w:val="00057cec"/>
    <w:rPr>
      <w:color w:val="0563C1" w:themeColor="hyperlink"/>
      <w:u w:val="single"/>
    </w:rPr>
  </w:style>
  <w:style w:type="character" w:styleId="BalloonTextChar" w:customStyle="1">
    <w:name w:val="Balloon Text Char"/>
    <w:basedOn w:val="DefaultParagraphFont"/>
    <w:link w:val="BalloonText"/>
    <w:uiPriority w:val="99"/>
    <w:semiHidden/>
    <w:qFormat/>
    <w:rsid w:val="006740c1"/>
    <w:rPr>
      <w:rFonts w:ascii="Segoe UI" w:hAnsi="Segoe UI" w:cs="Segoe UI"/>
      <w:sz w:val="18"/>
      <w:szCs w:val="18"/>
    </w:rPr>
  </w:style>
  <w:style w:type="character" w:styleId="ListLabel1">
    <w:name w:val="ListLabel 1"/>
    <w:qFormat/>
    <w:rPr>
      <w:rFonts w:cs="Courier New"/>
    </w:rPr>
  </w:style>
  <w:style w:type="character" w:styleId="ListLabel2">
    <w:name w:val="ListLabel 2"/>
    <w:qFormat/>
    <w:rPr>
      <w:rFonts w:cs="Courier New"/>
    </w:rPr>
  </w:style>
  <w:style w:type="character" w:styleId="ListLabel3">
    <w:name w:val="ListLabel 3"/>
    <w:qFormat/>
    <w:rPr>
      <w:rFonts w:cs="Courier New"/>
    </w:rPr>
  </w:style>
  <w:style w:type="character" w:styleId="ListLabel4">
    <w:name w:val="ListLabel 4"/>
    <w:qFormat/>
    <w:rPr>
      <w:rFonts w:cs="Courier New"/>
    </w:rPr>
  </w:style>
  <w:style w:type="character" w:styleId="ListLabel5">
    <w:name w:val="ListLabel 5"/>
    <w:qFormat/>
    <w:rPr>
      <w:rFonts w:cs="Courier New"/>
    </w:rPr>
  </w:style>
  <w:style w:type="character" w:styleId="ListLabel6">
    <w:name w:val="ListLabel 6"/>
    <w:qFormat/>
    <w:rPr>
      <w:rFonts w:cs="Courier New"/>
    </w:rPr>
  </w:style>
  <w:style w:type="character" w:styleId="ListLabel7">
    <w:name w:val="ListLabel 7"/>
    <w:qFormat/>
    <w:rPr>
      <w:rFonts w:cs="Courier New"/>
    </w:rPr>
  </w:style>
  <w:style w:type="character" w:styleId="ListLabel8">
    <w:name w:val="ListLabel 8"/>
    <w:qFormat/>
    <w:rPr>
      <w:rFonts w:cs="Courier New"/>
    </w:rPr>
  </w:style>
  <w:style w:type="character" w:styleId="ListLabel9">
    <w:name w:val="ListLabel 9"/>
    <w:qFormat/>
    <w:rPr>
      <w:rFonts w:cs="Courier New"/>
    </w:rPr>
  </w:style>
  <w:style w:type="character" w:styleId="ListLabel10">
    <w:name w:val="ListLabel 10"/>
    <w:qFormat/>
    <w:rPr>
      <w:rFonts w:cs="Courier New"/>
    </w:rPr>
  </w:style>
  <w:style w:type="character" w:styleId="ListLabel11">
    <w:name w:val="ListLabel 11"/>
    <w:qFormat/>
    <w:rPr>
      <w:rFonts w:cs="Courier New"/>
    </w:rPr>
  </w:style>
  <w:style w:type="character" w:styleId="ListLabel12">
    <w:name w:val="ListLabel 12"/>
    <w:qFormat/>
    <w:rPr>
      <w:rFonts w:cs="Courier New"/>
    </w:rPr>
  </w:style>
  <w:style w:type="character" w:styleId="ListLabel13">
    <w:name w:val="ListLabel 13"/>
    <w:qFormat/>
    <w:rPr>
      <w:rFonts w:cs="Courier New"/>
    </w:rPr>
  </w:style>
  <w:style w:type="character" w:styleId="ListLabel14">
    <w:name w:val="ListLabel 14"/>
    <w:qFormat/>
    <w:rPr>
      <w:rFonts w:cs="Courier New"/>
    </w:rPr>
  </w:style>
  <w:style w:type="character" w:styleId="ListLabel15">
    <w:name w:val="ListLabel 15"/>
    <w:qFormat/>
    <w:rPr>
      <w:rFonts w:cs="Courier New"/>
    </w:rPr>
  </w:style>
  <w:style w:type="character" w:styleId="ListLabel16">
    <w:name w:val="ListLabel 16"/>
    <w:qFormat/>
    <w:rPr>
      <w:rFonts w:eastAsia="Calibri" w:cs="Calibri"/>
      <w:color w:val="FF0000"/>
    </w:rPr>
  </w:style>
  <w:style w:type="character" w:styleId="ListLabel17">
    <w:name w:val="ListLabel 17"/>
    <w:qFormat/>
    <w:rPr>
      <w:rFonts w:cs="Courier New"/>
    </w:rPr>
  </w:style>
  <w:style w:type="character" w:styleId="ListLabel18">
    <w:name w:val="ListLabel 18"/>
    <w:qFormat/>
    <w:rPr>
      <w:rFonts w:cs="Courier New"/>
    </w:rPr>
  </w:style>
  <w:style w:type="character" w:styleId="ListLabel19">
    <w:name w:val="ListLabel 19"/>
    <w:qFormat/>
    <w:rPr>
      <w:rFonts w:cs="Courier New"/>
    </w:rPr>
  </w:style>
  <w:style w:type="character" w:styleId="ListLabel20">
    <w:name w:val="ListLabel 20"/>
    <w:qFormat/>
    <w:rPr>
      <w:sz w:val="20"/>
    </w:rPr>
  </w:style>
  <w:style w:type="character" w:styleId="ListLabel21">
    <w:name w:val="ListLabel 21"/>
    <w:qFormat/>
    <w:rPr>
      <w:sz w:val="20"/>
    </w:rPr>
  </w:style>
  <w:style w:type="character" w:styleId="ListLabel22">
    <w:name w:val="ListLabel 22"/>
    <w:qFormat/>
    <w:rPr>
      <w:sz w:val="20"/>
    </w:rPr>
  </w:style>
  <w:style w:type="character" w:styleId="ListLabel23">
    <w:name w:val="ListLabel 23"/>
    <w:qFormat/>
    <w:rPr>
      <w:sz w:val="20"/>
    </w:rPr>
  </w:style>
  <w:style w:type="character" w:styleId="ListLabel24">
    <w:name w:val="ListLabel 24"/>
    <w:qFormat/>
    <w:rPr>
      <w:sz w:val="20"/>
    </w:rPr>
  </w:style>
  <w:style w:type="character" w:styleId="ListLabel25">
    <w:name w:val="ListLabel 25"/>
    <w:qFormat/>
    <w:rPr>
      <w:sz w:val="20"/>
    </w:rPr>
  </w:style>
  <w:style w:type="character" w:styleId="ListLabel26">
    <w:name w:val="ListLabel 26"/>
    <w:qFormat/>
    <w:rPr>
      <w:sz w:val="20"/>
    </w:rPr>
  </w:style>
  <w:style w:type="character" w:styleId="ListLabel27">
    <w:name w:val="ListLabel 27"/>
    <w:qFormat/>
    <w:rPr>
      <w:sz w:val="20"/>
    </w:rPr>
  </w:style>
  <w:style w:type="character" w:styleId="ListLabel28">
    <w:name w:val="ListLabel 28"/>
    <w:qFormat/>
    <w:rPr>
      <w:sz w:val="20"/>
    </w:rPr>
  </w:style>
  <w:style w:type="character" w:styleId="ListLabel29">
    <w:name w:val="ListLabel 29"/>
    <w:qFormat/>
    <w:rPr>
      <w:b/>
    </w:rPr>
  </w:style>
  <w:style w:type="character" w:styleId="ListLabel30">
    <w:name w:val="ListLabel 30"/>
    <w:qFormat/>
    <w:rPr>
      <w:rFonts w:ascii="Arial" w:hAnsi="Arial" w:cs="Arial"/>
      <w:color w:val="000000"/>
      <w:sz w:val="23"/>
      <w:szCs w:val="23"/>
      <w:u w:val="single"/>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ascii="Arial" w:hAnsi="Arial" w:cs="Arial"/>
      <w:sz w:val="24"/>
    </w:rPr>
  </w:style>
  <w:style w:type="paragraph" w:styleId="Caption">
    <w:name w:val="Caption"/>
    <w:basedOn w:val="Normal"/>
    <w:qFormat/>
    <w:pPr>
      <w:suppressLineNumbers/>
      <w:spacing w:before="120" w:after="120"/>
    </w:pPr>
    <w:rPr>
      <w:rFonts w:ascii="Arial" w:hAnsi="Arial" w:cs="Arial"/>
      <w:i/>
      <w:iCs/>
      <w:sz w:val="24"/>
      <w:szCs w:val="24"/>
    </w:rPr>
  </w:style>
  <w:style w:type="paragraph" w:styleId="Index">
    <w:name w:val="Index"/>
    <w:basedOn w:val="Normal"/>
    <w:qFormat/>
    <w:pPr>
      <w:suppressLineNumbers/>
    </w:pPr>
    <w:rPr>
      <w:rFonts w:ascii="Arial" w:hAnsi="Arial" w:cs="Arial"/>
      <w:sz w:val="24"/>
    </w:rPr>
  </w:style>
  <w:style w:type="paragraph" w:styleId="ListParagraph">
    <w:name w:val="List Paragraph"/>
    <w:basedOn w:val="Normal"/>
    <w:uiPriority w:val="34"/>
    <w:qFormat/>
    <w:rsid w:val="005f2eed"/>
    <w:pPr>
      <w:spacing w:lineRule="auto" w:line="240" w:before="0" w:after="0"/>
      <w:ind w:left="720" w:hanging="0"/>
    </w:pPr>
    <w:rPr>
      <w:rFonts w:ascii="Times New Roman" w:hAnsi="Times New Roman" w:eastAsia="Times New Roman" w:cs="Times New Roman"/>
      <w:sz w:val="24"/>
      <w:szCs w:val="24"/>
    </w:rPr>
  </w:style>
  <w:style w:type="paragraph" w:styleId="BalloonText">
    <w:name w:val="Balloon Text"/>
    <w:basedOn w:val="Normal"/>
    <w:link w:val="BalloonTextChar"/>
    <w:uiPriority w:val="99"/>
    <w:semiHidden/>
    <w:unhideWhenUsed/>
    <w:qFormat/>
    <w:rsid w:val="006740c1"/>
    <w:pPr>
      <w:spacing w:lineRule="auto" w:line="240" w:before="0" w:after="0"/>
    </w:pPr>
    <w:rPr>
      <w:rFonts w:ascii="Segoe UI" w:hAnsi="Segoe UI" w:cs="Segoe UI"/>
      <w:sz w:val="18"/>
      <w:szCs w:val="18"/>
    </w:rPr>
  </w:style>
  <w:style w:type="numbering" w:styleId="NoList" w:default="1">
    <w:name w:val="No List"/>
    <w:uiPriority w:val="99"/>
    <w:semiHidden/>
    <w:unhideWhenUsed/>
    <w:qFormat/>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table" w:styleId="TableGrid">
    <w:name w:val="Table Grid"/>
    <w:basedOn w:val="TableNormal"/>
    <w:uiPriority w:val="39"/>
    <w:rsid w:val="004052ad"/>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bridgevillage.org.uk/NHP/index.asp" TargetMode="External"/><Relationship Id="rId3" Type="http://schemas.openxmlformats.org/officeDocument/2006/relationships/hyperlink" Target="https://drive.google.com/drive/folders/1khq_Ou9b67C6ibOtOOjs7Wrwx4l9ZP3c" TargetMode="External"/><Relationship Id="rId4" Type="http://schemas.openxmlformats.org/officeDocument/2006/relationships/hyperlink" Target="http://www.bridgevillage.org.uk/NHP/index.asp" TargetMode="External"/><Relationship Id="rId5" Type="http://schemas.openxmlformats.org/officeDocument/2006/relationships/hyperlink" Target="http://bridgevillage.org.uk/jcwebfiles/parishcouncil/pages/Drivelinkpage.htm" TargetMode="External"/><Relationship Id="rId6" Type="http://schemas.openxmlformats.org/officeDocument/2006/relationships/hyperlink" Target="http://www.bridgevillage.org.uk/NHP/index.asp"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LibreOffice/6.0.6.2$Windows_X86_64 LibreOffice_project/0c292870b25a325b5ed35f6b45599d2ea4458e77</Application>
  <Pages>6</Pages>
  <Words>2223</Words>
  <Characters>11323</Characters>
  <CharactersWithSpaces>13268</CharactersWithSpaces>
  <Paragraphs>351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2018-10-24T12:26:00Z</dcterms:created>
  <dc:creator>Philip Wicker</dc:creator>
  <dc:description/>
  <dc:language>en-GB</dc:language>
  <cp:lastModifiedBy>Philip Wicker</cp:lastModifiedBy>
  <cp:lastPrinted>2018-10-24T11:11:00Z</cp:lastPrinted>
  <dcterms:modified xsi:type="dcterms:W3CDTF">2018-10-24T12:26:00Z</dcterms:modified>
  <cp:revision>2</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